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4E51" w14:textId="6281AC1D" w:rsidR="00AF4D97" w:rsidRPr="00063A88" w:rsidRDefault="00F1664F" w:rsidP="00063A88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Rozstrzygnięcie postępowania</w:t>
      </w:r>
      <w:r w:rsidR="00063A88">
        <w:rPr>
          <w:rFonts w:ascii="Greycliff CF Medium" w:hAnsi="Greycliff CF Medium" w:cs="Times New Roman"/>
          <w:b/>
          <w:bCs/>
          <w:sz w:val="20"/>
          <w:szCs w:val="20"/>
        </w:rPr>
        <w:t xml:space="preserve"> 3</w:t>
      </w:r>
      <w:r w:rsidR="005064BA">
        <w:rPr>
          <w:rFonts w:ascii="Greycliff CF Medium" w:hAnsi="Greycliff CF Medium" w:cs="Times New Roman"/>
          <w:b/>
          <w:bCs/>
          <w:sz w:val="20"/>
          <w:szCs w:val="20"/>
        </w:rPr>
        <w:t>5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9D2A28">
        <w:rPr>
          <w:rFonts w:ascii="Greycliff CF Medium" w:hAnsi="Greycliff CF Medium" w:cs="Times New Roman"/>
          <w:b/>
          <w:bCs/>
          <w:sz w:val="20"/>
          <w:szCs w:val="20"/>
        </w:rPr>
        <w:t>3</w:t>
      </w:r>
    </w:p>
    <w:p w14:paraId="62320F36" w14:textId="77777777" w:rsidR="00063A88" w:rsidRDefault="00063A88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</w:p>
    <w:p w14:paraId="5EFCCFF9" w14:textId="0152D7EB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486"/>
        <w:gridCol w:w="3007"/>
        <w:gridCol w:w="1978"/>
      </w:tblGrid>
      <w:tr w:rsidR="000B4609" w:rsidRPr="009F607F" w14:paraId="60E2913A" w14:textId="77777777" w:rsidTr="005064BA">
        <w:trPr>
          <w:trHeight w:val="69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9F607F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9F607F" w:rsidRDefault="000B4609" w:rsidP="00BE560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9F607F" w:rsidRDefault="000B4609" w:rsidP="00BE560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9F607F" w:rsidRDefault="000B4609" w:rsidP="00BE560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9F607F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5064BA" w:rsidRPr="009F607F" w14:paraId="1675F40A" w14:textId="77777777" w:rsidTr="005064BA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133" w14:textId="35C8442D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MIC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tubes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br/>
              <w:t xml:space="preserve">Producent: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Bio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Molecular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System (REF: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Mic-tubes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)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20F7" w14:textId="74A168BD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Syngen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Biotech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 Ostródzka 13, 54-116 Wrocław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C269" w14:textId="3F7721A9" w:rsidR="005064BA" w:rsidRPr="009F607F" w:rsidRDefault="00F30ECD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18</w:t>
            </w:r>
            <w:r w:rsidR="009F607F" w:rsidRPr="009F6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070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6C4BF2CB" w14:textId="77777777" w:rsidTr="005064BA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35612" w14:textId="1B366000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1" w:name="_Hlk65662402"/>
            <w:r w:rsidRPr="009F607F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1"/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875" w14:textId="5EEC5002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Medium do hodowli komórkowej DMEM/F12 (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Dulbecco's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Modified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Eagle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Medium:Nutrient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Mixture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F-12),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Capricorn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Scientific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nr kat. DMEM-12-A lub równoważne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EC8E" w14:textId="12CA3EFB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Genos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Inowrocławska 9, lok. 132, 91-033 Łódź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FE4" w14:textId="06ED5815" w:rsidR="005064BA" w:rsidRPr="009F607F" w:rsidRDefault="00F30ECD" w:rsidP="00F30ECD">
            <w:pPr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708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2D4F0936" w14:textId="77777777" w:rsidTr="005064BA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8F9" w14:textId="774C398B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5533" w14:textId="2AC63884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Medium podstawowe do hodowli pierwotnych ludzkich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mezenchymalnych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komórek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macierzych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, ATCC kat. PCS-500-030™ lub równoważne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2CA2" w14:textId="6C999DB1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5064BA" w:rsidRPr="009F607F" w14:paraId="3DBB3643" w14:textId="77777777" w:rsidTr="005064BA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B80" w14:textId="7521FAF9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599" w14:textId="1172E6FD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Suplement do medium hodowlanego stymulujący wzrost ludzkich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mezenchymalnych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komóek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macierzystych pochodzenia szpikowego, ATCC kat. PCS-500-041™ lub równoważne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9E57" w14:textId="26AE7BFF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5064BA" w:rsidRPr="009F607F" w14:paraId="5730C44E" w14:textId="77777777" w:rsidTr="005064BA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D61B" w14:textId="07899F59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D31" w14:textId="001432E2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Czerwień fenolowa do hodowli komórkowych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6EA" w14:textId="3E51B9E0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5064BA" w:rsidRPr="009F607F" w14:paraId="43D4A914" w14:textId="77777777" w:rsidTr="005064BA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20D" w14:textId="6C57934A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393" w14:textId="21F0B9B5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Płyn do czyszczenia urządzenia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Guava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easyCyte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™,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4200-0140 lub równoważne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DF56" w14:textId="03C159A2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5064BA" w:rsidRPr="009F607F" w14:paraId="2C8B4C90" w14:textId="1B16F1FE" w:rsidTr="005064BA">
        <w:trPr>
          <w:trHeight w:val="1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6AE0" w14:textId="02E3DD2D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F01" w14:textId="2B1111AC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Probówki typu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eppendorf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1,5 ml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niskowiążące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Eppendorf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DNA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LoBind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nr kat 0030108051 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35C3" w14:textId="632180AB" w:rsidR="005064BA" w:rsidRPr="009F607F" w:rsidRDefault="002D0010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Czeska 22A, 03-902 Warszawa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50D3" w14:textId="20142087" w:rsidR="005064BA" w:rsidRPr="009F607F" w:rsidRDefault="00F30ECD" w:rsidP="00F30ECD">
            <w:pPr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207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2C8EF4FD" w14:textId="5BA40A48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8C1" w14:textId="600B1870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8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E4" w14:textId="48DFCE72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Końcówki do pipet automatycznych o pojemności 300 µl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354" w14:textId="04922A8B" w:rsidR="005064BA" w:rsidRPr="009F607F" w:rsidRDefault="002D0010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Googlab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Brzozowa 8, 83-200 Rokocin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A7E" w14:textId="4FBC9390" w:rsidR="005064BA" w:rsidRPr="009F607F" w:rsidRDefault="00F30ECD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118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61F5FB0A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4B5" w14:textId="3815AF8F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9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8246" w14:textId="4CFFD8E2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Odczynnik do izolacji RNA -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Trizol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reagent lub równoważny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EC27" w14:textId="5D34B963" w:rsidR="005064BA" w:rsidRPr="009F607F" w:rsidRDefault="00072476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Syngen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Biotech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 Ostródzka 13, 54-116 Wrocław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8E32" w14:textId="665049F2" w:rsidR="005064BA" w:rsidRPr="009F607F" w:rsidRDefault="00F30ECD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728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73BD6476" w14:textId="25DD78DD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706" w14:textId="53AEDE75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8F5" w14:textId="0E303E68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D-PBS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086F" w14:textId="490B95D6" w:rsidR="005064BA" w:rsidRPr="009F607F" w:rsidRDefault="002D0010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EURx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Przyrodników 3, 80-297 Gdańsk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8E07" w14:textId="409AC88C" w:rsidR="005064BA" w:rsidRPr="009F607F" w:rsidRDefault="00F30ECD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120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3CDD70D5" w14:textId="12623FF3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DED" w14:textId="3DB94F64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11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A51" w14:textId="6BD6C943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Pęseta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dwugięta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6D14" w14:textId="381FCBF4" w:rsidR="005064BA" w:rsidRPr="009F607F" w:rsidRDefault="002D0010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Equimed Sp. J., ul. Prądnicka 46, 31-202 Kraków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004D" w14:textId="49E3E5F2" w:rsidR="005064BA" w:rsidRPr="009F607F" w:rsidRDefault="00F30ECD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42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150AF2CA" w14:textId="7D3ED23D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7DF" w14:textId="5B46E38D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12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8B1" w14:textId="29F3F2FF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/>
                <w:sz w:val="20"/>
                <w:szCs w:val="20"/>
                <w:lang w:val="en-US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Pipety serologiczne 25 ml z podziałką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6022" w14:textId="2A7E8D72" w:rsidR="005064BA" w:rsidRPr="009F607F" w:rsidRDefault="002D0010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J., ul. Wspólna 3, 05-090 Janki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6A2A" w14:textId="6139A61A" w:rsidR="005064BA" w:rsidRPr="009F607F" w:rsidRDefault="00F30ECD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440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064BA" w:rsidRPr="009F607F" w14:paraId="75EF0E47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A181" w14:textId="1A5D732C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13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7F6B" w14:textId="0EBDEA98" w:rsidR="005064BA" w:rsidRPr="009F607F" w:rsidRDefault="005064BA" w:rsidP="005064BA">
            <w:pPr>
              <w:spacing w:after="0" w:line="240" w:lineRule="auto"/>
              <w:jc w:val="center"/>
              <w:rPr>
                <w:rFonts w:ascii="Greycliff CF Medium" w:hAnsi="Greycliff CF Medium"/>
                <w:sz w:val="20"/>
                <w:szCs w:val="20"/>
                <w:lang w:val="en-US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Pipety serologiczne 50 ml z podziałką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DD50" w14:textId="0FD9E060" w:rsidR="005064BA" w:rsidRPr="009F607F" w:rsidRDefault="002D0010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J., ul. Wspólna 3, 05-090 Janki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CBD2" w14:textId="4272F3B5" w:rsidR="005064BA" w:rsidRPr="009F607F" w:rsidRDefault="00F30ECD" w:rsidP="005064B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537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D0010" w:rsidRPr="009F607F" w14:paraId="7A89A386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7433" w14:textId="285DB43B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14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8F2F" w14:textId="26DD8769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PCR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Water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Molecular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Bilogy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Grade) EURX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Cat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. No. E0211-02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2EE" w14:textId="412D0DBA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EURx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Przyrodników 3, 80-297 Gdańsk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8AAB" w14:textId="1E02A3BD" w:rsidR="002D0010" w:rsidRPr="009F607F" w:rsidRDefault="00F30ECD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350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D0010" w:rsidRPr="009F607F" w14:paraId="6822B57F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50FB" w14:textId="50820BFB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15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60E" w14:textId="1BA097D8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Inserty do hodowli komórkowych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ThinCert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™ o numerze katalogowym Greiner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Bio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-One 657 638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FBC2" w14:textId="7BB360E9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J., ul. Wspólna 3, 05-090 Janki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FEB2" w14:textId="031DAB2E" w:rsidR="002D0010" w:rsidRPr="009F607F" w:rsidRDefault="00F30ECD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3085,78</w:t>
            </w:r>
          </w:p>
        </w:tc>
      </w:tr>
      <w:tr w:rsidR="002D0010" w:rsidRPr="009F607F" w14:paraId="133D91B7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C827" w14:textId="65B14816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16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616E" w14:textId="7AEE04FE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Medium do różnicowania i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chondrogenezy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mezenchymalnych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komórek macierzystych,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PromoCell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nr kat. C-28012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6399" w14:textId="061B4E42" w:rsidR="002D0010" w:rsidRPr="009F607F" w:rsidRDefault="00F30ECD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Biomedica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Poland Sp. z o. o., ul. Raszyńska 13, 05-500 Piaseczno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A59F" w14:textId="43CF4FD7" w:rsidR="002D0010" w:rsidRPr="009F607F" w:rsidRDefault="00F30ECD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116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D0010" w:rsidRPr="009F607F" w14:paraId="2FD7EDAB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E1DD" w14:textId="48A80D21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17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A098" w14:textId="18428813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Filtry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nabutelkowe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C1BC" w14:textId="319C60FB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J., ul. Wspólna 3, 05-090 Janki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0CF5" w14:textId="7379DB22" w:rsidR="002D0010" w:rsidRPr="009F607F" w:rsidRDefault="00072476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432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D0010" w:rsidRPr="009F607F" w14:paraId="7FEE1DA5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8E4" w14:textId="62E0C6C0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18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4CD" w14:textId="4B6B07DC" w:rsidR="002D0010" w:rsidRPr="009F607F" w:rsidRDefault="002D0010" w:rsidP="002D0010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Clean-Up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RNA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Concentrator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br/>
              <w:t xml:space="preserve">AA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Biotechnology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039-100C lub równoważny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6B60" w14:textId="6F888ECD" w:rsidR="002D0010" w:rsidRPr="009F607F" w:rsidRDefault="00F30ECD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A-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Biotech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Muchoborska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18, 54-424 Wrocław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F9E" w14:textId="0336C506" w:rsidR="002D0010" w:rsidRPr="009F607F" w:rsidRDefault="00072476" w:rsidP="002D001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380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5819DD5C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4D8E" w14:textId="7740579C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19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249" w14:textId="64195D49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Rękawiczki nitrylowe rozmiar 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D48A" w14:textId="4520F349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Googlab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Brzozowa 8, 83-200 Rokocin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B33D" w14:textId="6731297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480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53CE547F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715" w14:textId="065A772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A9B7" w14:textId="3C1C959B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Rękawiczki nitrylowe rozmiar 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9957" w14:textId="3B10CE6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Googlab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Brzozowa 8, 83-200 Rokocin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97F" w14:textId="43BE605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240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2F945158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39D" w14:textId="23C723A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21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1F6" w14:textId="2FA43E3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Końcówki do pipet automatycznych o pojemności 1000µl, z barierą dla aerozoli w statywie, PCR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clean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7844" w14:textId="15B1E5C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Googlab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Brzozowa 8, 83-200 Rokocin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8E64" w14:textId="35E5764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876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0D924F38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E8C" w14:textId="66172E3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22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B8CA" w14:textId="4AF394D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Końcówki do pipet automatycznych o pojemności 10µl, z barierą dla aerozoli w statywie, PCR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clean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CE63" w14:textId="758F613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Googlab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Brzozowa 8, 83-200 Rokocin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7DDC" w14:textId="4888972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834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797AE8FD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D935" w14:textId="5E6D508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23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9322" w14:textId="7DA1627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Hanks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'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Balanced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 xml:space="preserve"> Salt Solution (HBSS) do hodowli komórkowej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40C3" w14:textId="72275DB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Genos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Inowrocławska 9, lok. 132, 91-033 Łódź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68A3" w14:textId="269C531D" w:rsidR="00072476" w:rsidRPr="009F607F" w:rsidRDefault="00072476" w:rsidP="00072476">
            <w:pPr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276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46CD72CA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1F74" w14:textId="45E3EF0B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24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948F" w14:textId="334BDDE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Pipety serologiczne 10 ml z podziałką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0FAF" w14:textId="06301DC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Googlab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Brzozowa 8, 83-200 Rokocin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8F55" w14:textId="5AC4C12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128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239B9B0E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9117" w14:textId="25C08016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25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F3CD" w14:textId="008BC873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Pipety serologiczne 50 ml z podziałką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CE25" w14:textId="057821A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Biokom Systems M.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Sidor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J., ul. Wspólna 3, 05-090 Janki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702" w14:textId="1A43ABC6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366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3AF04E68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2BD3" w14:textId="5B9D733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26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F8EC" w14:textId="0D9590B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Butelki do poboru wody 250 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4335" w14:textId="73AD5909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Czeska 22A, 03-902 Warszawa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416A" w14:textId="22F9CA1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2</w:t>
            </w:r>
            <w:r w:rsidR="009F607F"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205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78A7E00E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CFE3" w14:textId="5EDFD2D3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27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04B8" w14:textId="3DDE558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Płynne podłoże TSB, 30ml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C4BC" w14:textId="10FA9D8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Czeska 22A, 03-902 Warszawa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B7C" w14:textId="60FF645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10</w:t>
            </w:r>
            <w:r w:rsidR="009F607F"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</w:t>
            </w: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140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01E8B864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7B63" w14:textId="01AB266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28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A01" w14:textId="15845AE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Płynne podłoże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tioglikolanowe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, 30ml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99C3" w14:textId="7FA37470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72AC3DA8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930B" w14:textId="018BD053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29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E81D" w14:textId="11A0F25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Końcówki do pipet 250 ul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apirogenne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i sterylne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4956" w14:textId="1FAC253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25313217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038D" w14:textId="20E3E17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30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24A5" w14:textId="667DCEF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Lizat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z amebocytów skrzypłocza (LAL)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0031" w14:textId="5BC6C07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6E7F5529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179" w14:textId="69C3170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31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5FC" w14:textId="0378DD8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Płytki agarowe TSA, 90mm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3519" w14:textId="18F7B08E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Czeska 22A, 03-902 Warszawa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BDAC" w14:textId="4B5B114C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490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3B98D5CE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F265" w14:textId="6B6B670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32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0C4" w14:textId="4ED64B3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Płytki agarowe SDA, 90mm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0242" w14:textId="4DA58B7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BioMaxima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S.A., ul.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Vetterów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7CE9" w14:textId="5C265420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800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0794A1B4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0D89" w14:textId="00571E6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33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2879" w14:textId="0E0F92E3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Płytki agarowe TSA, 55 mm, odciskowe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6C6A" w14:textId="2E28904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Czeska 22A, 03-902 Warszawa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2323" w14:textId="0F62AA5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092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24DEDA9E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1B67" w14:textId="08A844E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34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3448" w14:textId="0682BA2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Płytki agarowe SDA, 55 mm, odciskowe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7D5C" w14:textId="426E950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BioMaxima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S.A., ul.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Vetterów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E5AC" w14:textId="3718757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</w:t>
            </w: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200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0C4F1B3F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ECA" w14:textId="08728AA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35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787B" w14:textId="602C19AC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Końcówki do pipet 1000 ul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apirogenne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i sterylne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035E" w14:textId="555975B0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Googlab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Scientific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Brzozowa 8, 83-200 Rokocin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EA37" w14:textId="73A3CAD3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272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554F1027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EB84" w14:textId="0965BD49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36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A93" w14:textId="16E1BB7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łyżka 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1706" w14:textId="42E5942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0FE9BF5A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933D" w14:textId="408785B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37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7AA8" w14:textId="6CE1B83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Płynne podłoże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Buffered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pepton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3D4B" w14:textId="418176C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bioMerieux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Gen. J. Zajączka 9, 01-518 Warszawa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447" w14:textId="3E10A596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663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6B6A3ACF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515" w14:textId="324C8EE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38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D1BF" w14:textId="2A651D1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Płynne podłoże Baird Parker Agar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724B" w14:textId="6F7306E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GRASO Zenon Sobiecki, Krąg 4a, 93-200 Starogard Gdański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5BEC" w14:textId="2D07500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825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42128710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FB60" w14:textId="3FBF4050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39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8C89" w14:textId="04194EE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Płynne podłoże VRBL Agar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2481" w14:textId="53915FEC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BioMaxima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S.A., ul.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Vetterów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66AB" w14:textId="1354479D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450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1EC558DF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3B97" w14:textId="6558F03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F455" w14:textId="59F59896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Płynne podłoże YGC Agar zgodne z PN ISO7954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301B" w14:textId="1D0ED83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4AF364A9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D6B" w14:textId="3E004DE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41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2382" w14:textId="3DEB9F10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Płynne podłoże PCA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1091" w14:textId="7D0ABBB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bioMerieux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Gen. J. Zajączka 9, 01-518 Warszawa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216" w14:textId="69734AB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351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2B64B635" w14:textId="77777777" w:rsidTr="005064BA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7083" w14:textId="73087AAB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42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37CB" w14:textId="13420A39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Płynne podłoże PCA bez w/o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glucose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374B" w14:textId="08823CEE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Th.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Geyer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Polska Sp. z o. o., ul. Czeska 22A, 03-902 Warszawa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C32" w14:textId="3CF3B95B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775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564CD89D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D576" w14:textId="6573667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43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F146" w14:textId="678EE54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Płynne podłoże RAPID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Enterococcus</w:t>
            </w:r>
            <w:proofErr w:type="spellEnd"/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73F1" w14:textId="44441E2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6CA1F834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6CF" w14:textId="5ECC469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44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2FF" w14:textId="6FFEB3F3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Rapid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e.coli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, 2 Agar for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water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 55 mmX20, 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BDB0" w14:textId="1534014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5E4B8A38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8FB" w14:textId="186DA0E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45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D2D9" w14:textId="194A6558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łyżka jednoazowa sterylna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1FD8" w14:textId="0B8F6740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3DFB2386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5DA3" w14:textId="5BD5D890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46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0124" w14:textId="561EA26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XLD Agar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B47F" w14:textId="3FE7E78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GRASO Zenon Sobiecki, Krąg 4a, 93-200 Starogard Gdański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2DA0" w14:textId="63E32B1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312,50</w:t>
            </w:r>
          </w:p>
        </w:tc>
      </w:tr>
      <w:tr w:rsidR="00072476" w:rsidRPr="009F607F" w14:paraId="58770B76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A1B2" w14:textId="0479740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47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1796" w14:textId="7048530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RVS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Broth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9AE0" w14:textId="2DF1C80A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GRASO Zenon Sobiecki, Krąg 4a, 93-200 Starogard Gdański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64DB" w14:textId="1CFA3794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312,50</w:t>
            </w:r>
          </w:p>
        </w:tc>
      </w:tr>
      <w:tr w:rsidR="00072476" w:rsidRPr="009F607F" w14:paraId="2CB9625F" w14:textId="77777777" w:rsidTr="00F30ECD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88E7" w14:textId="7DB53AF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48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A5C" w14:textId="21A6340C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 xml:space="preserve">Szczep referencyjny Salmonella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000000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4D62" w14:textId="098A3E0C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072476" w:rsidRPr="009F607F" w14:paraId="7ABEA2DE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F4CE" w14:textId="625DF68B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49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7A32" w14:textId="0027779F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363636"/>
                <w:sz w:val="20"/>
                <w:szCs w:val="20"/>
              </w:rPr>
              <w:t xml:space="preserve">ALKOHOL ETYLOWY 99,9% cz.d.a., nr Cat.:PA-11-0004#9X500ML,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363636"/>
                <w:sz w:val="20"/>
                <w:szCs w:val="20"/>
              </w:rPr>
              <w:t>Stanlab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363636"/>
                <w:sz w:val="20"/>
                <w:szCs w:val="20"/>
              </w:rPr>
              <w:t xml:space="preserve">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B790" w14:textId="53D7F28C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A-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Biotech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Muchoborska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18, 54-424 Wrocław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2A1" w14:textId="612DEAC1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990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72476" w:rsidRPr="009F607F" w14:paraId="7DEE6BA9" w14:textId="77777777" w:rsidTr="00072476">
        <w:trPr>
          <w:trHeight w:val="1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0A51" w14:textId="639F221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9F607F">
              <w:rPr>
                <w:rFonts w:ascii="Greycliff CF Medium" w:hAnsi="Greycliff CF Medium" w:cs="Times New Roman"/>
                <w:sz w:val="20"/>
                <w:szCs w:val="20"/>
              </w:rPr>
              <w:t>Część 50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C660" w14:textId="0524B847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hAnsi="Greycliff CF Medium" w:cs="Calibri"/>
                <w:color w:val="000000"/>
                <w:sz w:val="20"/>
                <w:szCs w:val="20"/>
              </w:rPr>
            </w:pPr>
            <w:r w:rsidRPr="009F607F">
              <w:rPr>
                <w:rFonts w:ascii="Greycliff CF Medium" w:hAnsi="Greycliff CF Medium" w:cs="Calibri"/>
                <w:b/>
                <w:bCs/>
                <w:color w:val="363636"/>
                <w:sz w:val="20"/>
                <w:szCs w:val="20"/>
              </w:rPr>
              <w:t xml:space="preserve">Alkohol izopropylowy cz. d. a., nr kat.:PA-11-0031 </w:t>
            </w:r>
            <w:proofErr w:type="spellStart"/>
            <w:r w:rsidRPr="009F607F">
              <w:rPr>
                <w:rFonts w:ascii="Greycliff CF Medium" w:hAnsi="Greycliff CF Medium" w:cs="Calibri"/>
                <w:b/>
                <w:bCs/>
                <w:color w:val="363636"/>
                <w:sz w:val="20"/>
                <w:szCs w:val="20"/>
              </w:rPr>
              <w:t>Stanlab</w:t>
            </w:r>
            <w:proofErr w:type="spellEnd"/>
            <w:r w:rsidRPr="009F607F">
              <w:rPr>
                <w:rFonts w:ascii="Greycliff CF Medium" w:hAnsi="Greycliff CF Medium" w:cs="Calibri"/>
                <w:b/>
                <w:bCs/>
                <w:color w:val="363636"/>
                <w:sz w:val="20"/>
                <w:szCs w:val="20"/>
              </w:rPr>
              <w:t xml:space="preserve"> lub równoważne,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41F1" w14:textId="1E66AEF5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A-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Biotech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sp. z o. o., ul. </w:t>
            </w:r>
            <w:proofErr w:type="spellStart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Muchoborska</w:t>
            </w:r>
            <w:proofErr w:type="spellEnd"/>
            <w:r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 18, 54-424 Wrocław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9811" w14:textId="2363AA92" w:rsidR="00072476" w:rsidRPr="009F607F" w:rsidRDefault="00072476" w:rsidP="00072476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9F607F"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90</w:t>
            </w:r>
            <w:r w:rsidR="009F607F" w:rsidRPr="009F607F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bookmarkEnd w:id="0"/>
    </w:tbl>
    <w:p w14:paraId="5A6FD497" w14:textId="77777777" w:rsidR="00887A5D" w:rsidRDefault="00887A5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2F30927" w14:textId="5A3FA537" w:rsidR="00925C60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Działając na podstawie pkt XXIII ust. 1</w:t>
      </w:r>
      <w:r w:rsidR="00281563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Zapytania ofertowego przedmiotowe postępowanie zostało unieważnione w ramach części</w:t>
      </w:r>
      <w:r w:rsidR="00AF283C">
        <w:rPr>
          <w:rFonts w:ascii="Greycliff CF Medium" w:hAnsi="Greycliff CF Medium" w:cs="Times New Roman"/>
          <w:sz w:val="20"/>
          <w:szCs w:val="20"/>
        </w:rPr>
        <w:t xml:space="preserve"> 3, 4, </w:t>
      </w:r>
      <w:r w:rsidR="00F30ECD">
        <w:rPr>
          <w:rFonts w:ascii="Greycliff CF Medium" w:hAnsi="Greycliff CF Medium" w:cs="Times New Roman"/>
          <w:sz w:val="20"/>
          <w:szCs w:val="20"/>
        </w:rPr>
        <w:t>5, 28, 29, 30, 36, 40, 43, 44, 45, 48</w:t>
      </w:r>
      <w:r w:rsidR="00FC0EDD">
        <w:rPr>
          <w:rFonts w:ascii="Greycliff CF Medium" w:hAnsi="Greycliff CF Medium" w:cs="Times New Roman"/>
          <w:sz w:val="20"/>
          <w:szCs w:val="20"/>
        </w:rPr>
        <w:t xml:space="preserve">. </w:t>
      </w:r>
      <w:r w:rsidRPr="00703806">
        <w:rPr>
          <w:rFonts w:ascii="Greycliff CF Medium" w:hAnsi="Greycliff CF Medium" w:cs="Times New Roman"/>
          <w:sz w:val="20"/>
          <w:szCs w:val="20"/>
        </w:rPr>
        <w:t>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 xml:space="preserve">wskazanych części </w:t>
      </w:r>
      <w:r w:rsidRPr="00703806">
        <w:rPr>
          <w:rFonts w:ascii="Greycliff CF Medium" w:hAnsi="Greycliff CF Medium" w:cs="Times New Roman"/>
          <w:sz w:val="20"/>
          <w:szCs w:val="20"/>
        </w:rPr>
        <w:lastRenderedPageBreak/>
        <w:t>przeprowadzić postępowanie w trybie zamówienia z wolnej ręki, z zachowaniem pierwotnych warunków zamówienia.</w:t>
      </w:r>
    </w:p>
    <w:p w14:paraId="326F48DC" w14:textId="39AA4DB1" w:rsidR="00925C60" w:rsidRDefault="00925C60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6DDBE29D" w14:textId="325F7785" w:rsidR="00194B90" w:rsidRDefault="00194B90" w:rsidP="00194B90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1BE022C7" w14:textId="0B87174F" w:rsidR="005470DD" w:rsidRPr="00703806" w:rsidRDefault="005470D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31B16AF4" w:rsidR="00331F3C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Gdynia, </w:t>
      </w:r>
      <w:r w:rsidR="009F607F">
        <w:rPr>
          <w:rFonts w:ascii="Greycliff CF Medium" w:hAnsi="Greycliff CF Medium" w:cs="Times New Roman"/>
          <w:sz w:val="20"/>
          <w:szCs w:val="20"/>
        </w:rPr>
        <w:t>2</w:t>
      </w:r>
      <w:r w:rsidR="00C32E14">
        <w:rPr>
          <w:rFonts w:ascii="Greycliff CF Medium" w:hAnsi="Greycliff CF Medium" w:cs="Times New Roman"/>
          <w:sz w:val="20"/>
          <w:szCs w:val="20"/>
        </w:rPr>
        <w:t>3</w:t>
      </w:r>
      <w:r w:rsidR="00701360">
        <w:rPr>
          <w:rFonts w:ascii="Greycliff CF Medium" w:hAnsi="Greycliff CF Medium" w:cs="Times New Roman"/>
          <w:sz w:val="20"/>
          <w:szCs w:val="20"/>
        </w:rPr>
        <w:t>.0</w:t>
      </w:r>
      <w:r w:rsidR="009F607F">
        <w:rPr>
          <w:rFonts w:ascii="Greycliff CF Medium" w:hAnsi="Greycliff CF Medium" w:cs="Times New Roman"/>
          <w:sz w:val="20"/>
          <w:szCs w:val="20"/>
        </w:rPr>
        <w:t>8</w:t>
      </w:r>
      <w:r w:rsidR="00701360">
        <w:rPr>
          <w:rFonts w:ascii="Greycliff CF Medium" w:hAnsi="Greycliff CF Medium" w:cs="Times New Roman"/>
          <w:sz w:val="20"/>
          <w:szCs w:val="20"/>
        </w:rPr>
        <w:t>.2023</w:t>
      </w:r>
    </w:p>
    <w:p w14:paraId="7B09CEB3" w14:textId="784129C4" w:rsidR="008F635F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Kierownik Projektu </w:t>
      </w:r>
    </w:p>
    <w:p w14:paraId="76EC3A5D" w14:textId="3501F42F" w:rsidR="008F635F" w:rsidRPr="00703806" w:rsidRDefault="00133B53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M</w:t>
      </w:r>
      <w:r w:rsidR="008F635F">
        <w:rPr>
          <w:rFonts w:ascii="Greycliff CF Medium" w:hAnsi="Greycliff CF Medium" w:cs="Times New Roman"/>
          <w:sz w:val="20"/>
          <w:szCs w:val="20"/>
        </w:rPr>
        <w:t>arcin Martyniak</w:t>
      </w:r>
    </w:p>
    <w:sectPr w:rsidR="008F635F" w:rsidRPr="00703806" w:rsidSect="003B1D2C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C86" w14:textId="77777777" w:rsidR="009F7AC4" w:rsidRDefault="009F7AC4" w:rsidP="00E26FF7">
      <w:pPr>
        <w:spacing w:after="0" w:line="240" w:lineRule="auto"/>
      </w:pPr>
      <w:r>
        <w:separator/>
      </w:r>
    </w:p>
  </w:endnote>
  <w:endnote w:type="continuationSeparator" w:id="0">
    <w:p w14:paraId="2F3D8BAB" w14:textId="77777777" w:rsidR="009F7AC4" w:rsidRDefault="009F7AC4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2744DB13">
          <wp:simplePos x="0" y="0"/>
          <wp:positionH relativeFrom="margin">
            <wp:posOffset>548005</wp:posOffset>
          </wp:positionH>
          <wp:positionV relativeFrom="bottomMargin">
            <wp:posOffset>93980</wp:posOffset>
          </wp:positionV>
          <wp:extent cx="4695825" cy="276225"/>
          <wp:effectExtent l="0" t="0" r="952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143" b="-42157"/>
                  <a:stretch/>
                </pic:blipFill>
                <pic:spPr bwMode="auto">
                  <a:xfrm>
                    <a:off x="0" y="0"/>
                    <a:ext cx="4695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5780" w14:textId="77777777" w:rsidR="009F7AC4" w:rsidRDefault="009F7AC4" w:rsidP="00E26FF7">
      <w:pPr>
        <w:spacing w:after="0" w:line="240" w:lineRule="auto"/>
      </w:pPr>
      <w:r>
        <w:separator/>
      </w:r>
    </w:p>
  </w:footnote>
  <w:footnote w:type="continuationSeparator" w:id="0">
    <w:p w14:paraId="349A800F" w14:textId="77777777" w:rsidR="009F7AC4" w:rsidRDefault="009F7AC4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11D19"/>
    <w:rsid w:val="00021359"/>
    <w:rsid w:val="00056A83"/>
    <w:rsid w:val="00063A88"/>
    <w:rsid w:val="00072476"/>
    <w:rsid w:val="00082975"/>
    <w:rsid w:val="000A0AA3"/>
    <w:rsid w:val="000A2858"/>
    <w:rsid w:val="000A7504"/>
    <w:rsid w:val="000B4609"/>
    <w:rsid w:val="000C5425"/>
    <w:rsid w:val="000C5A97"/>
    <w:rsid w:val="000D290E"/>
    <w:rsid w:val="001052BA"/>
    <w:rsid w:val="00113378"/>
    <w:rsid w:val="0011789A"/>
    <w:rsid w:val="00121E8E"/>
    <w:rsid w:val="00133B53"/>
    <w:rsid w:val="001413A8"/>
    <w:rsid w:val="001518DA"/>
    <w:rsid w:val="0017059D"/>
    <w:rsid w:val="00173D84"/>
    <w:rsid w:val="001811F8"/>
    <w:rsid w:val="00181AEF"/>
    <w:rsid w:val="00194B90"/>
    <w:rsid w:val="001966F4"/>
    <w:rsid w:val="001B4132"/>
    <w:rsid w:val="001B55D0"/>
    <w:rsid w:val="001B75A9"/>
    <w:rsid w:val="001D3825"/>
    <w:rsid w:val="001D659F"/>
    <w:rsid w:val="001E3737"/>
    <w:rsid w:val="001F4647"/>
    <w:rsid w:val="00201F37"/>
    <w:rsid w:val="00212903"/>
    <w:rsid w:val="00223DFA"/>
    <w:rsid w:val="00237FDF"/>
    <w:rsid w:val="00243C76"/>
    <w:rsid w:val="002477B6"/>
    <w:rsid w:val="00257E40"/>
    <w:rsid w:val="00265C67"/>
    <w:rsid w:val="0027005B"/>
    <w:rsid w:val="00281563"/>
    <w:rsid w:val="002967E5"/>
    <w:rsid w:val="002A2394"/>
    <w:rsid w:val="002C2C10"/>
    <w:rsid w:val="002D0010"/>
    <w:rsid w:val="002E2B7F"/>
    <w:rsid w:val="002E4DFE"/>
    <w:rsid w:val="002F0EC1"/>
    <w:rsid w:val="00311F66"/>
    <w:rsid w:val="003306AD"/>
    <w:rsid w:val="00331F3C"/>
    <w:rsid w:val="003502C0"/>
    <w:rsid w:val="0036642A"/>
    <w:rsid w:val="003712F1"/>
    <w:rsid w:val="00373604"/>
    <w:rsid w:val="00385D2C"/>
    <w:rsid w:val="00394030"/>
    <w:rsid w:val="003A54DF"/>
    <w:rsid w:val="003A656A"/>
    <w:rsid w:val="003B1D2C"/>
    <w:rsid w:val="003B4036"/>
    <w:rsid w:val="003E3CB5"/>
    <w:rsid w:val="003F105A"/>
    <w:rsid w:val="003F1B81"/>
    <w:rsid w:val="00411CEC"/>
    <w:rsid w:val="00426358"/>
    <w:rsid w:val="0043150C"/>
    <w:rsid w:val="00444591"/>
    <w:rsid w:val="0044459C"/>
    <w:rsid w:val="004514FA"/>
    <w:rsid w:val="00455569"/>
    <w:rsid w:val="00463B8B"/>
    <w:rsid w:val="0048003B"/>
    <w:rsid w:val="00483F0B"/>
    <w:rsid w:val="004A4CE9"/>
    <w:rsid w:val="005064BA"/>
    <w:rsid w:val="00522013"/>
    <w:rsid w:val="0053180B"/>
    <w:rsid w:val="00535BD0"/>
    <w:rsid w:val="005470DD"/>
    <w:rsid w:val="0055427B"/>
    <w:rsid w:val="00555C53"/>
    <w:rsid w:val="00570C53"/>
    <w:rsid w:val="00575F22"/>
    <w:rsid w:val="00591F40"/>
    <w:rsid w:val="005C20B5"/>
    <w:rsid w:val="005C659E"/>
    <w:rsid w:val="005C6D86"/>
    <w:rsid w:val="005D5F6A"/>
    <w:rsid w:val="005D6FB7"/>
    <w:rsid w:val="005F2A4B"/>
    <w:rsid w:val="0060772A"/>
    <w:rsid w:val="006138A2"/>
    <w:rsid w:val="0061603C"/>
    <w:rsid w:val="00617198"/>
    <w:rsid w:val="0062394C"/>
    <w:rsid w:val="00670777"/>
    <w:rsid w:val="00692092"/>
    <w:rsid w:val="006A352D"/>
    <w:rsid w:val="006B40E2"/>
    <w:rsid w:val="006B6121"/>
    <w:rsid w:val="006E12A6"/>
    <w:rsid w:val="006F0D09"/>
    <w:rsid w:val="006F2D70"/>
    <w:rsid w:val="00701360"/>
    <w:rsid w:val="00703806"/>
    <w:rsid w:val="00723E2C"/>
    <w:rsid w:val="00741391"/>
    <w:rsid w:val="00766E1B"/>
    <w:rsid w:val="007707CE"/>
    <w:rsid w:val="007828F9"/>
    <w:rsid w:val="0078408A"/>
    <w:rsid w:val="00787868"/>
    <w:rsid w:val="007A0AD4"/>
    <w:rsid w:val="007A7B63"/>
    <w:rsid w:val="007F1CA8"/>
    <w:rsid w:val="007F4F75"/>
    <w:rsid w:val="007F67F7"/>
    <w:rsid w:val="00800816"/>
    <w:rsid w:val="00831CA4"/>
    <w:rsid w:val="0083629C"/>
    <w:rsid w:val="008427AF"/>
    <w:rsid w:val="00866EED"/>
    <w:rsid w:val="0087617D"/>
    <w:rsid w:val="0088787A"/>
    <w:rsid w:val="00887A5D"/>
    <w:rsid w:val="008A26BA"/>
    <w:rsid w:val="008C1472"/>
    <w:rsid w:val="008E16F0"/>
    <w:rsid w:val="008F37D2"/>
    <w:rsid w:val="008F635F"/>
    <w:rsid w:val="009039F8"/>
    <w:rsid w:val="00925C60"/>
    <w:rsid w:val="00950E7E"/>
    <w:rsid w:val="0095135C"/>
    <w:rsid w:val="0097242A"/>
    <w:rsid w:val="00985A74"/>
    <w:rsid w:val="00993340"/>
    <w:rsid w:val="00993900"/>
    <w:rsid w:val="00997389"/>
    <w:rsid w:val="009C1E64"/>
    <w:rsid w:val="009D2A28"/>
    <w:rsid w:val="009F607F"/>
    <w:rsid w:val="009F7AC4"/>
    <w:rsid w:val="00A16C77"/>
    <w:rsid w:val="00A20981"/>
    <w:rsid w:val="00A23387"/>
    <w:rsid w:val="00A27843"/>
    <w:rsid w:val="00A37349"/>
    <w:rsid w:val="00A41EA2"/>
    <w:rsid w:val="00A42183"/>
    <w:rsid w:val="00AB4E24"/>
    <w:rsid w:val="00AC2CAF"/>
    <w:rsid w:val="00AD07D5"/>
    <w:rsid w:val="00AD43DA"/>
    <w:rsid w:val="00AE0A6F"/>
    <w:rsid w:val="00AE6751"/>
    <w:rsid w:val="00AF283C"/>
    <w:rsid w:val="00AF40CD"/>
    <w:rsid w:val="00AF4D97"/>
    <w:rsid w:val="00B01EFA"/>
    <w:rsid w:val="00B02769"/>
    <w:rsid w:val="00B03D23"/>
    <w:rsid w:val="00B1119D"/>
    <w:rsid w:val="00B2464B"/>
    <w:rsid w:val="00B634AD"/>
    <w:rsid w:val="00BA225F"/>
    <w:rsid w:val="00BB5FC3"/>
    <w:rsid w:val="00BC481C"/>
    <w:rsid w:val="00BD290F"/>
    <w:rsid w:val="00BD4A9F"/>
    <w:rsid w:val="00BE5602"/>
    <w:rsid w:val="00BE7EC0"/>
    <w:rsid w:val="00BF1338"/>
    <w:rsid w:val="00C01E3C"/>
    <w:rsid w:val="00C05C13"/>
    <w:rsid w:val="00C27F2B"/>
    <w:rsid w:val="00C27FC6"/>
    <w:rsid w:val="00C32E14"/>
    <w:rsid w:val="00C65C00"/>
    <w:rsid w:val="00C75C5A"/>
    <w:rsid w:val="00CA5AA5"/>
    <w:rsid w:val="00CB0BB1"/>
    <w:rsid w:val="00CB4CBB"/>
    <w:rsid w:val="00CC216E"/>
    <w:rsid w:val="00CD08C9"/>
    <w:rsid w:val="00CD1A0B"/>
    <w:rsid w:val="00D46A61"/>
    <w:rsid w:val="00D519C6"/>
    <w:rsid w:val="00D51F5F"/>
    <w:rsid w:val="00D66F27"/>
    <w:rsid w:val="00D820EA"/>
    <w:rsid w:val="00D85B75"/>
    <w:rsid w:val="00DA51E8"/>
    <w:rsid w:val="00DC1857"/>
    <w:rsid w:val="00E03E24"/>
    <w:rsid w:val="00E26FF7"/>
    <w:rsid w:val="00E41D16"/>
    <w:rsid w:val="00E57A3B"/>
    <w:rsid w:val="00E86300"/>
    <w:rsid w:val="00EF0053"/>
    <w:rsid w:val="00EF49FC"/>
    <w:rsid w:val="00F021B9"/>
    <w:rsid w:val="00F1664F"/>
    <w:rsid w:val="00F30ECD"/>
    <w:rsid w:val="00F3440C"/>
    <w:rsid w:val="00F359D2"/>
    <w:rsid w:val="00F83078"/>
    <w:rsid w:val="00FA27E3"/>
    <w:rsid w:val="00FA75CB"/>
    <w:rsid w:val="00FC0EDD"/>
    <w:rsid w:val="00FC7C62"/>
    <w:rsid w:val="00FD6C1B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Marcin Martyniak</cp:lastModifiedBy>
  <cp:revision>41</cp:revision>
  <cp:lastPrinted>2023-08-23T10:08:00Z</cp:lastPrinted>
  <dcterms:created xsi:type="dcterms:W3CDTF">2023-02-03T07:53:00Z</dcterms:created>
  <dcterms:modified xsi:type="dcterms:W3CDTF">2023-08-23T10:15:00Z</dcterms:modified>
</cp:coreProperties>
</file>