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6153956E" w:rsidR="000431CA" w:rsidRPr="00912625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912625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912625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912625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912625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5A36DF" w:rsidRPr="00912625">
        <w:rPr>
          <w:rFonts w:ascii="Greycliff CF Medium" w:hAnsi="Greycliff CF Medium" w:cs="Times New Roman"/>
          <w:sz w:val="22"/>
          <w:szCs w:val="22"/>
          <w:lang w:val="pl-PL"/>
        </w:rPr>
        <w:t>31</w:t>
      </w:r>
      <w:r w:rsidR="001C32A0" w:rsidRPr="00912625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5A36DF" w:rsidRPr="00912625">
        <w:rPr>
          <w:rFonts w:ascii="Greycliff CF Medium" w:hAnsi="Greycliff CF Medium" w:cs="Times New Roman"/>
          <w:sz w:val="22"/>
          <w:szCs w:val="22"/>
          <w:lang w:val="pl-PL"/>
        </w:rPr>
        <w:t>lipca</w:t>
      </w:r>
      <w:r w:rsidR="00684459" w:rsidRPr="00912625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F75D24" w:rsidRPr="00912625">
        <w:rPr>
          <w:rFonts w:ascii="Greycliff CF Medium" w:hAnsi="Greycliff CF Medium" w:cs="Times New Roman"/>
          <w:sz w:val="22"/>
          <w:szCs w:val="22"/>
          <w:lang w:val="pl-PL"/>
        </w:rPr>
        <w:t>20</w:t>
      </w:r>
      <w:r w:rsidR="0063599D" w:rsidRPr="00912625">
        <w:rPr>
          <w:rFonts w:ascii="Greycliff CF Medium" w:hAnsi="Greycliff CF Medium" w:cs="Times New Roman"/>
          <w:sz w:val="22"/>
          <w:szCs w:val="22"/>
          <w:lang w:val="pl-PL"/>
        </w:rPr>
        <w:t>2</w:t>
      </w:r>
      <w:r w:rsidR="00CB1191" w:rsidRPr="00912625">
        <w:rPr>
          <w:rFonts w:ascii="Greycliff CF Medium" w:hAnsi="Greycliff CF Medium" w:cs="Times New Roman"/>
          <w:sz w:val="22"/>
          <w:szCs w:val="22"/>
          <w:lang w:val="pl-PL"/>
        </w:rPr>
        <w:t>3</w:t>
      </w:r>
      <w:r w:rsidR="000431CA" w:rsidRPr="00912625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912625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912625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912625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912625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912625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912625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912625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1BB33565" w:rsidR="007A0A3C" w:rsidRPr="00912625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1E0E8C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  <w:r w:rsidR="005A36DF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252513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CB1191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912625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912625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1680EA54" w:rsidR="00357794" w:rsidRPr="00912625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126061988"/>
      <w:bookmarkStart w:id="1" w:name="_Hlk81395615"/>
      <w:r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bookmarkStart w:id="2" w:name="_Hlk120614649"/>
      <w:r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dostawę</w:t>
      </w:r>
      <w:r w:rsidR="000B4E52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Start w:id="3" w:name="_Hlk141438199"/>
      <w:bookmarkEnd w:id="2"/>
      <w:bookmarkEnd w:id="0"/>
      <w:bookmarkEnd w:id="1"/>
      <w:r w:rsidR="005E6D29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odczynników</w:t>
      </w:r>
      <w:r w:rsidR="005A36DF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, </w:t>
      </w:r>
      <w:r w:rsidR="001C32A0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materiałów zużywalnych</w:t>
      </w:r>
      <w:r w:rsidR="005A36DF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 odczynników do hodowli komórkowej oraz materiałów eksploatacyjnych do hodowli komórkowej</w:t>
      </w:r>
      <w:bookmarkEnd w:id="3"/>
      <w:r w:rsidR="001C32A0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6C177E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4" w:name="_Hlk69999468"/>
      <w:r w:rsidR="00357794" w:rsidRPr="00912625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4"/>
    <w:p w14:paraId="1FBAC7D3" w14:textId="77777777" w:rsidR="00B5046D" w:rsidRPr="00912625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912625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35BED67E" w:rsidR="00357794" w:rsidRPr="00912625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912625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912625">
        <w:rPr>
          <w:rFonts w:ascii="Greycliff CF Medium" w:hAnsi="Greycliff CF Medium" w:cs="Times New Roman"/>
        </w:rPr>
        <w:t xml:space="preserve"> nr </w:t>
      </w:r>
      <w:r w:rsidR="00357794" w:rsidRPr="00912625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912625">
        <w:rPr>
          <w:rFonts w:ascii="Greycliff CF Medium" w:hAnsi="Greycliff CF Medium" w:cs="Times New Roman"/>
          <w:color w:val="000000"/>
        </w:rPr>
        <w:t>pt. „</w:t>
      </w:r>
      <w:r w:rsidR="00357794" w:rsidRPr="00912625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912625">
        <w:rPr>
          <w:rFonts w:ascii="Greycliff CF Medium" w:hAnsi="Greycliff CF Medium" w:cs="Times New Roman"/>
          <w:color w:val="000000"/>
        </w:rPr>
        <w:t>”</w:t>
      </w:r>
      <w:r w:rsidR="00D04E09" w:rsidRPr="00912625">
        <w:rPr>
          <w:rFonts w:ascii="Greycliff CF Medium" w:hAnsi="Greycliff CF Medium" w:cs="Times New Roman"/>
          <w:color w:val="000000"/>
        </w:rPr>
        <w:t xml:space="preserve">, </w:t>
      </w:r>
      <w:r w:rsidRPr="00912625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912625">
        <w:rPr>
          <w:rFonts w:ascii="Greycliff CF Medium" w:hAnsi="Greycliff CF Medium" w:cs="Times New Roman"/>
          <w:color w:val="000000"/>
        </w:rPr>
        <w:br/>
      </w:r>
      <w:r w:rsidRPr="00912625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5" w:name="_Hlk81306405"/>
      <w:bookmarkStart w:id="6" w:name="_Hlk69999256"/>
      <w:r w:rsidR="005A36DF" w:rsidRPr="00912625">
        <w:rPr>
          <w:rFonts w:ascii="Greycliff CF Medium" w:hAnsi="Greycliff CF Medium" w:cs="Times New Roman"/>
          <w:b/>
          <w:bCs/>
        </w:rPr>
        <w:t>odczynników, materiałów zużywalnych, odczynników do hodowli komórkowej oraz materiałów eksploatacyjnych do hodowli komórkowej</w:t>
      </w:r>
      <w:r w:rsidR="00935A17" w:rsidRPr="00912625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5"/>
    <w:p w14:paraId="23ECFB41" w14:textId="77777777" w:rsidR="00B3553E" w:rsidRPr="00912625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6"/>
    <w:p w14:paraId="1F884CF4" w14:textId="7435D7F4" w:rsidR="007A0A3C" w:rsidRPr="00912625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912625">
        <w:rPr>
          <w:rFonts w:ascii="Greycliff CF Medium" w:hAnsi="Greycliff CF Medium" w:cs="Times New Roman"/>
          <w:color w:val="000000"/>
        </w:rPr>
        <w:t>Przedmiot zamówienia</w:t>
      </w:r>
      <w:r w:rsidR="007A0A3C" w:rsidRPr="00912625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912625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912625">
        <w:rPr>
          <w:rFonts w:ascii="Greycliff CF Medium" w:hAnsi="Greycliff CF Medium" w:cs="Times New Roman"/>
          <w:color w:val="000000"/>
        </w:rPr>
        <w:t>,</w:t>
      </w:r>
      <w:r w:rsidR="00357794" w:rsidRPr="00912625">
        <w:rPr>
          <w:rFonts w:ascii="Greycliff CF Medium" w:hAnsi="Greycliff CF Medium"/>
        </w:rPr>
        <w:t xml:space="preserve"> </w:t>
      </w:r>
      <w:r w:rsidR="00357794" w:rsidRPr="00912625">
        <w:rPr>
          <w:rFonts w:ascii="Greycliff CF Medium" w:hAnsi="Greycliff CF Medium" w:cs="Times New Roman"/>
          <w:color w:val="000000"/>
        </w:rPr>
        <w:t>Oś priorytetowa 1</w:t>
      </w:r>
      <w:r w:rsidR="007E4A81" w:rsidRPr="00912625">
        <w:rPr>
          <w:rFonts w:ascii="Greycliff CF Medium" w:hAnsi="Greycliff CF Medium" w:cs="Times New Roman"/>
          <w:color w:val="000000"/>
        </w:rPr>
        <w:t>. Komercjalizacja wiedzy,</w:t>
      </w:r>
      <w:r w:rsidR="007A0A3C" w:rsidRPr="00912625">
        <w:rPr>
          <w:rFonts w:ascii="Greycliff CF Medium" w:hAnsi="Greycliff CF Medium" w:cs="Times New Roman"/>
          <w:color w:val="000000"/>
        </w:rPr>
        <w:t xml:space="preserve"> </w:t>
      </w:r>
      <w:r w:rsidR="0044328E" w:rsidRPr="00912625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912625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912625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912625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912625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912625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912625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912625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912625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912625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912625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912625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912625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912625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912625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91262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91262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91262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91262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91262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91262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912625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912625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912625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912625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912625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912625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Zamawiającym –</w:t>
      </w: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912625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Pr="00912625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12625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912625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912625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912625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912625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912625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912625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912625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912625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912625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912625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912625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912625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912625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912625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63A29D5E" w14:textId="7AF100C7" w:rsidR="00462E25" w:rsidRPr="00912625" w:rsidRDefault="00462E2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bookmarkStart w:id="7" w:name="_Hlk109987297"/>
      <w:r w:rsidRPr="00912625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19520000-7: Produkty z tworzyw sztucznych – część:</w:t>
      </w:r>
      <w:r w:rsidR="00675158" w:rsidRPr="00912625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 w:rsidR="008A520F" w:rsidRPr="00912625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1,7,8,12,13,15,17,19,20,21,22,24,25,26,29,35, 45</w:t>
      </w:r>
    </w:p>
    <w:p w14:paraId="4CBDE7AE" w14:textId="634E92CF" w:rsidR="005E6D29" w:rsidRPr="00912625" w:rsidRDefault="005E6D29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33696500-0: Odczynniki laboratoryjne – część: </w:t>
      </w:r>
      <w:r w:rsidR="008A520F" w:rsidRPr="00912625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2,3,4,5,6,9,10,14,16,18,23,27,28,30,31,32,33,34,37, 38,39,40,41,42,43,44,46,47,48,49,50</w:t>
      </w:r>
    </w:p>
    <w:p w14:paraId="25FC2050" w14:textId="429C1FB7" w:rsidR="00DA5B38" w:rsidRPr="00912625" w:rsidRDefault="00DA5B38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 w:rsidRPr="00912625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38437000-7: Pipety i akcesoria laboratoryjne</w:t>
      </w:r>
      <w:r w:rsidRPr="00912625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– część 11,36</w:t>
      </w:r>
    </w:p>
    <w:bookmarkEnd w:id="7"/>
    <w:p w14:paraId="3E7C456B" w14:textId="77777777" w:rsidR="00036183" w:rsidRPr="00912625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  <w:lang w:val="pl-PL"/>
        </w:rPr>
      </w:pPr>
    </w:p>
    <w:p w14:paraId="44EBDF7A" w14:textId="5F396436" w:rsidR="008C3142" w:rsidRPr="00912625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912625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912625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40A1F4D5" w:rsidR="00A93755" w:rsidRPr="00912625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912625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912625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jest</w:t>
      </w:r>
      <w:r w:rsidR="001C32A0" w:rsidRPr="00912625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="001C32A0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dostawa</w:t>
      </w:r>
      <w:r w:rsidR="005E6D29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odczynników,</w:t>
      </w:r>
      <w:r w:rsidR="001C32A0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materiałów zużywalnych </w:t>
      </w:r>
      <w:r w:rsidR="005E6D29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oraz</w:t>
      </w:r>
      <w:r w:rsidR="001C32A0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wzorców</w:t>
      </w:r>
      <w:r w:rsidR="009D69A1" w:rsidRPr="00912625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,</w:t>
      </w:r>
      <w:r w:rsidR="00BA4916" w:rsidRPr="00912625">
        <w:rPr>
          <w:rFonts w:ascii="Greycliff CF Medium" w:eastAsia="Calibri" w:hAnsi="Greycliff CF Medium" w:cs="Times New Roman"/>
          <w:b/>
          <w:noProof w:val="0"/>
          <w:snapToGrid/>
          <w:sz w:val="20"/>
          <w:szCs w:val="20"/>
          <w:lang w:val="pl-PL"/>
        </w:rPr>
        <w:t xml:space="preserve"> </w:t>
      </w:r>
      <w:r w:rsidR="002A6975" w:rsidRPr="00912625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  <w:r w:rsidR="001D74D9" w:rsidRPr="00912625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.</w:t>
      </w:r>
    </w:p>
    <w:p w14:paraId="1B3A369D" w14:textId="77777777" w:rsidR="00B3553E" w:rsidRPr="00912625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76EBA738" w:rsidR="00AA1852" w:rsidRPr="00912625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50</w:t>
      </w:r>
      <w:r w:rsidR="009F50AC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części:</w:t>
      </w:r>
      <w:bookmarkStart w:id="8" w:name="_Hlk70061381"/>
    </w:p>
    <w:bookmarkEnd w:id="8"/>
    <w:p w14:paraId="7438F679" w14:textId="02896BCE" w:rsidR="0062392E" w:rsidRPr="00912625" w:rsidRDefault="0062392E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1: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MIC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tubes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;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Producent: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Bio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Molecular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System (REF: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Mic-tubes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) lub równoważne</w:t>
      </w:r>
    </w:p>
    <w:p w14:paraId="39796523" w14:textId="167025DE" w:rsidR="0062392E" w:rsidRPr="00912625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2: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Medium do hodowli komórkowej DMEM/F12 (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Dulbecco's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Modified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Eagle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Medium:Nutrient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Mixture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F-12),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Capricorn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Scientific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nr kat. DMEM-12-A lub równoważne</w:t>
      </w:r>
    </w:p>
    <w:p w14:paraId="67726706" w14:textId="3F5932C9" w:rsidR="0062392E" w:rsidRPr="00912625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3: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Medium podstawowe do hodowli pierwotnych ludzkich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mezenchymalnych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komórek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macierzych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, ATCC kat. PCS-500-030™ lub równoważne</w:t>
      </w:r>
    </w:p>
    <w:p w14:paraId="0A905A57" w14:textId="2F34F15D" w:rsidR="0062392E" w:rsidRPr="00912625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4: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Suplement do medium hodowlanego stymulujący wzrost ludzkich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mezenchymalnych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komóek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macierzystych pochodzenia szpikowego, ATCC kat. PCS-500-041™ lub równoważne</w:t>
      </w:r>
    </w:p>
    <w:p w14:paraId="3DD918D6" w14:textId="77777777" w:rsidR="00DA5B38" w:rsidRPr="00912625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 xml:space="preserve">Część 5: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Czerwień fenolowa do hodowli komórkowych</w:t>
      </w:r>
    </w:p>
    <w:p w14:paraId="74AF3512" w14:textId="3CF97B64" w:rsidR="0062392E" w:rsidRPr="00912625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6: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Płyn do czyszczenia urządzenia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Guava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®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easyCyte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™,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Luminex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4200-0140 lub równoważne</w:t>
      </w:r>
    </w:p>
    <w:p w14:paraId="15F23239" w14:textId="6E97C61E" w:rsidR="0062392E" w:rsidRPr="00912625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</w:rPr>
      </w:pP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Część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7: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Probówki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typu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eppendorf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1,5 ml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niskowiążące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, Eppendorf DNA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LoBind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nr kat 0030108051 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lub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równoważne</w:t>
      </w:r>
      <w:proofErr w:type="spellEnd"/>
    </w:p>
    <w:p w14:paraId="0692664A" w14:textId="2238211D" w:rsidR="0062392E" w:rsidRPr="00912625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8: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Końcówki do pipet automatycznych o pojemności 300 µl</w:t>
      </w:r>
    </w:p>
    <w:p w14:paraId="731F131F" w14:textId="4CBCD912" w:rsidR="00CD4CAC" w:rsidRPr="00912625" w:rsidRDefault="0062392E" w:rsidP="001C32A0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9: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Odczynnik do izolacji RNA -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Trizol</w:t>
      </w:r>
      <w:proofErr w:type="spellEnd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reagent lub równoważny</w:t>
      </w:r>
    </w:p>
    <w:p w14:paraId="0CE90BA5" w14:textId="61444D7D" w:rsidR="00CD4CAC" w:rsidRPr="00912625" w:rsidRDefault="0062392E" w:rsidP="001C32A0">
      <w:pPr>
        <w:spacing w:after="160"/>
        <w:ind w:left="360"/>
        <w:jc w:val="both"/>
        <w:rPr>
          <w:rFonts w:ascii="Greycliff CF Medium" w:hAnsi="Greycliff CF Medium"/>
          <w:b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0:</w:t>
      </w:r>
      <w:r w:rsidRPr="00912625">
        <w:rPr>
          <w:rFonts w:ascii="Greycliff CF Medium" w:hAnsi="Greycliff CF Medium"/>
          <w:b/>
          <w:sz w:val="22"/>
          <w:szCs w:val="22"/>
          <w:lang w:val="pl-PL"/>
        </w:rPr>
        <w:t xml:space="preserve"> </w:t>
      </w:r>
      <w:r w:rsidR="00DA5B38" w:rsidRPr="00912625">
        <w:rPr>
          <w:rFonts w:ascii="Greycliff CF Medium" w:hAnsi="Greycliff CF Medium"/>
          <w:b/>
          <w:sz w:val="22"/>
          <w:szCs w:val="22"/>
          <w:lang w:val="pl-PL"/>
        </w:rPr>
        <w:t>D-PBS</w:t>
      </w:r>
    </w:p>
    <w:p w14:paraId="4DC87026" w14:textId="76EA589A" w:rsidR="0062392E" w:rsidRPr="00912625" w:rsidRDefault="0062392E" w:rsidP="001C32A0">
      <w:pPr>
        <w:spacing w:after="0"/>
        <w:ind w:firstLine="360"/>
        <w:jc w:val="both"/>
        <w:rPr>
          <w:rFonts w:ascii="Greycliff CF Medium" w:hAnsi="Greycliff CF Medium" w:cs="Calibri"/>
          <w:b/>
          <w:bCs/>
          <w:noProof w:val="0"/>
          <w:snapToGrid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1: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Pęseta </w:t>
      </w:r>
      <w:proofErr w:type="spellStart"/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dwugięta</w:t>
      </w:r>
      <w:proofErr w:type="spellEnd"/>
    </w:p>
    <w:p w14:paraId="7A0ED018" w14:textId="4D2528C0" w:rsidR="005E6D29" w:rsidRPr="00912625" w:rsidRDefault="002E7FCD" w:rsidP="00D16947">
      <w:pPr>
        <w:spacing w:after="0" w:line="480" w:lineRule="auto"/>
        <w:ind w:firstLine="360"/>
        <w:jc w:val="both"/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683166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2:</w:t>
      </w:r>
      <w:r w:rsidR="005E6D29" w:rsidRPr="00912625">
        <w:rPr>
          <w:b/>
          <w:bCs/>
          <w:color w:val="000000"/>
          <w:sz w:val="20"/>
          <w:szCs w:val="20"/>
        </w:rPr>
        <w:t xml:space="preserve"> </w:t>
      </w:r>
      <w:r w:rsidR="00DA5B38" w:rsidRPr="00912625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>Pipety serologiczne 25 ml z podziałką</w:t>
      </w:r>
    </w:p>
    <w:p w14:paraId="653DC5DF" w14:textId="2148839B" w:rsidR="002E7FCD" w:rsidRPr="00912625" w:rsidRDefault="002E7FCD" w:rsidP="00D16947">
      <w:pPr>
        <w:spacing w:after="160" w:line="48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Część </w:t>
      </w:r>
      <w:r w:rsidR="00683166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3: </w:t>
      </w:r>
      <w:r w:rsidR="00DA5B38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Pipety serologiczne 50 ml z podziałką</w:t>
      </w:r>
    </w:p>
    <w:p w14:paraId="7CED1231" w14:textId="09CED068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14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PCR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Water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(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Molecular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Bilogy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Grade) EURX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Cat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. No. E0211-02 lub równoważne</w:t>
      </w:r>
    </w:p>
    <w:p w14:paraId="2DDFE647" w14:textId="303C1EE2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15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Inserty do hodowli komórkowych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ThinCert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™ o numerze katalogowym Greiner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Bio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-One 657 638 lub równoważne</w:t>
      </w:r>
    </w:p>
    <w:p w14:paraId="0191EAAB" w14:textId="1736DA64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</w:rPr>
      </w:pP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Część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16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: Medium do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różnicowania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i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chondrogenezy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mezenchymalnych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komórek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macierzystych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,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PromoCell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nr kat. C-28012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lub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równoważne</w:t>
      </w:r>
      <w:proofErr w:type="spellEnd"/>
    </w:p>
    <w:p w14:paraId="55E4506D" w14:textId="0D102431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17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Filtry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nabutelkowe</w:t>
      </w:r>
      <w:proofErr w:type="spellEnd"/>
    </w:p>
    <w:p w14:paraId="32EE492E" w14:textId="5FBC27FC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18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"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Clean-Up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RNA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Concentrato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, AA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Biotechnology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039-100C lub równoważny"</w:t>
      </w:r>
    </w:p>
    <w:p w14:paraId="7A7A3802" w14:textId="2268D8D2" w:rsidR="00DA5B38" w:rsidRPr="00912625" w:rsidRDefault="00DA5B38" w:rsidP="00DA5B38">
      <w:pPr>
        <w:spacing w:after="160"/>
        <w:ind w:left="360"/>
        <w:jc w:val="both"/>
        <w:rPr>
          <w:rFonts w:ascii="Greycliff CF Medium" w:hAnsi="Greycliff CF Medium"/>
          <w:b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9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Pr="00912625">
        <w:rPr>
          <w:rFonts w:ascii="Greycliff CF Medium" w:hAnsi="Greycliff CF Medium"/>
          <w:b/>
          <w:sz w:val="22"/>
          <w:szCs w:val="22"/>
          <w:lang w:val="pl-PL"/>
        </w:rPr>
        <w:t xml:space="preserve"> Rękawiczki nitrylowe rozmiar S</w:t>
      </w:r>
    </w:p>
    <w:p w14:paraId="3DC39DD0" w14:textId="25546ADF" w:rsidR="00DA5B38" w:rsidRPr="00912625" w:rsidRDefault="00DA5B38" w:rsidP="00DA5B38">
      <w:pPr>
        <w:spacing w:after="0"/>
        <w:ind w:firstLine="360"/>
        <w:jc w:val="both"/>
        <w:rPr>
          <w:rFonts w:ascii="Greycliff CF Medium" w:hAnsi="Greycliff CF Medium" w:cs="Calibri"/>
          <w:b/>
          <w:bCs/>
          <w:noProof w:val="0"/>
          <w:snapToGrid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20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Rękawiczki nitrylowe rozmiar M</w:t>
      </w:r>
    </w:p>
    <w:p w14:paraId="1489FC6C" w14:textId="45EBB834" w:rsidR="00DA5B38" w:rsidRPr="00912625" w:rsidRDefault="00DA5B38" w:rsidP="00DA5B38">
      <w:pPr>
        <w:spacing w:after="0" w:line="480" w:lineRule="auto"/>
        <w:ind w:left="360"/>
        <w:jc w:val="both"/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21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Pr="00912625">
        <w:rPr>
          <w:b/>
          <w:bCs/>
          <w:color w:val="000000"/>
          <w:sz w:val="20"/>
          <w:szCs w:val="20"/>
        </w:rPr>
        <w:t xml:space="preserve"> </w:t>
      </w:r>
      <w:r w:rsidRPr="00912625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 xml:space="preserve">Końcówki do pipet automatycznych o pojemności 1000µl, z barierą dla aerozoli w statywie, PCR </w:t>
      </w:r>
      <w:proofErr w:type="spellStart"/>
      <w:r w:rsidRPr="00912625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>clean</w:t>
      </w:r>
      <w:proofErr w:type="spellEnd"/>
    </w:p>
    <w:p w14:paraId="6E37563C" w14:textId="330B473B" w:rsidR="00DA5B38" w:rsidRPr="00912625" w:rsidRDefault="00DA5B38" w:rsidP="00DA5B38">
      <w:pPr>
        <w:spacing w:after="160" w:line="48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22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Końcówki do pipet automatycznych o pojemności 10µl, z barierą dla aerozoli w statywie, PCR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clean</w:t>
      </w:r>
      <w:proofErr w:type="spellEnd"/>
    </w:p>
    <w:p w14:paraId="51F12F4C" w14:textId="6AD64EC2" w:rsidR="00DA5B38" w:rsidRPr="00912625" w:rsidRDefault="00DA5B38" w:rsidP="00DA5B38">
      <w:pPr>
        <w:spacing w:after="160" w:line="48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23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Hanks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'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Balanced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Salt Solution (HBSS) do hodowli komórkowej</w:t>
      </w:r>
    </w:p>
    <w:p w14:paraId="2CB045A9" w14:textId="4E9D3E39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24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Pipety serologiczne 10 ml z podziałką</w:t>
      </w:r>
    </w:p>
    <w:p w14:paraId="016D3014" w14:textId="6BB73836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</w:rPr>
      </w:pP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Część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25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: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Pipety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serologiczne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50 ml z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podziałką</w:t>
      </w:r>
      <w:proofErr w:type="spellEnd"/>
    </w:p>
    <w:p w14:paraId="54DA0DE9" w14:textId="062AA84B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26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Butelki do poboru wody 250 ml</w:t>
      </w:r>
    </w:p>
    <w:p w14:paraId="776B7A00" w14:textId="77777777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27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Płynne podłoże TSB, 30ml</w:t>
      </w:r>
    </w:p>
    <w:p w14:paraId="620B27E9" w14:textId="451BA737" w:rsidR="00DA5B38" w:rsidRPr="00912625" w:rsidRDefault="00DA5B38" w:rsidP="00DA5B38">
      <w:pPr>
        <w:spacing w:after="160"/>
        <w:ind w:left="360"/>
        <w:jc w:val="both"/>
        <w:rPr>
          <w:rFonts w:ascii="Greycliff CF Medium" w:hAnsi="Greycliff CF Medium"/>
          <w:b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28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Pr="00912625">
        <w:rPr>
          <w:rFonts w:ascii="Greycliff CF Medium" w:hAnsi="Greycliff CF Medium"/>
          <w:b/>
          <w:sz w:val="22"/>
          <w:szCs w:val="22"/>
          <w:lang w:val="pl-PL"/>
        </w:rPr>
        <w:t xml:space="preserve"> Płynne podłoże tioglikolanowe, 30ml</w:t>
      </w:r>
    </w:p>
    <w:p w14:paraId="61070D27" w14:textId="1681127D" w:rsidR="00DA5B38" w:rsidRPr="00912625" w:rsidRDefault="00DA5B38" w:rsidP="00DA5B38">
      <w:pPr>
        <w:spacing w:after="0"/>
        <w:ind w:firstLine="360"/>
        <w:jc w:val="both"/>
        <w:rPr>
          <w:rFonts w:ascii="Greycliff CF Medium" w:hAnsi="Greycliff CF Medium" w:cs="Calibri"/>
          <w:b/>
          <w:bCs/>
          <w:noProof w:val="0"/>
          <w:snapToGrid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29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Końcówki do pipet 250 ul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apirogenne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i sterylne</w:t>
      </w:r>
    </w:p>
    <w:p w14:paraId="66908681" w14:textId="2DC7B3D5" w:rsidR="00DA5B38" w:rsidRPr="00912625" w:rsidRDefault="00DA5B38" w:rsidP="00DA5B38">
      <w:pPr>
        <w:spacing w:after="0" w:line="480" w:lineRule="auto"/>
        <w:ind w:firstLine="360"/>
        <w:jc w:val="both"/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30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Pr="00912625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12625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>Lizat</w:t>
      </w:r>
      <w:proofErr w:type="spellEnd"/>
      <w:r w:rsidRPr="00912625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 xml:space="preserve"> z amebocytów skrzypłocza (LAL)</w:t>
      </w:r>
    </w:p>
    <w:p w14:paraId="5184EDEF" w14:textId="46378270" w:rsidR="00DA5B38" w:rsidRPr="00912625" w:rsidRDefault="00DA5B38" w:rsidP="00DA5B38">
      <w:pPr>
        <w:spacing w:after="160" w:line="48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31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Płytki agarowe TSA, 90mm</w:t>
      </w:r>
    </w:p>
    <w:p w14:paraId="54A58EDE" w14:textId="4C7A372B" w:rsidR="00DA5B38" w:rsidRPr="00912625" w:rsidRDefault="00DA5B38" w:rsidP="00DA5B38">
      <w:pPr>
        <w:spacing w:after="0"/>
        <w:ind w:firstLine="360"/>
        <w:jc w:val="both"/>
        <w:rPr>
          <w:rFonts w:ascii="Greycliff CF Medium" w:hAnsi="Greycliff CF Medium" w:cs="Calibri"/>
          <w:b/>
          <w:bCs/>
          <w:noProof w:val="0"/>
          <w:snapToGrid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32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Płytki agarowe SDA, 90mm</w:t>
      </w:r>
    </w:p>
    <w:p w14:paraId="6E66B649" w14:textId="262BF463" w:rsidR="00DA5B38" w:rsidRPr="00912625" w:rsidRDefault="00DA5B38" w:rsidP="00DA5B38">
      <w:pPr>
        <w:spacing w:after="0" w:line="480" w:lineRule="auto"/>
        <w:ind w:firstLine="360"/>
        <w:jc w:val="both"/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33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Pr="00912625">
        <w:rPr>
          <w:b/>
          <w:bCs/>
          <w:color w:val="000000"/>
          <w:sz w:val="20"/>
          <w:szCs w:val="20"/>
        </w:rPr>
        <w:t xml:space="preserve"> </w:t>
      </w:r>
      <w:r w:rsidRPr="00912625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>Płytki agarowe TSA, 55 mm, odciskowe</w:t>
      </w:r>
    </w:p>
    <w:p w14:paraId="756BEDFA" w14:textId="5D564DA3" w:rsidR="00DA5B38" w:rsidRPr="00912625" w:rsidRDefault="00DA5B38" w:rsidP="00DA5B38">
      <w:pPr>
        <w:spacing w:after="160" w:line="48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34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Płytki agarowe SDA, 55 mm, odciskowe</w:t>
      </w:r>
    </w:p>
    <w:p w14:paraId="49CE18B0" w14:textId="77777777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35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Końcówki do pipet 1000 ul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apirogenne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i sterylne</w:t>
      </w:r>
    </w:p>
    <w:p w14:paraId="2964AEBA" w14:textId="26F61B2C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36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Ł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yżka</w:t>
      </w:r>
    </w:p>
    <w:p w14:paraId="168FD842" w14:textId="43A37A79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</w:rPr>
      </w:pP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Część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37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: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Płynne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podłoże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Buffered </w:t>
      </w: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pepton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water</w:t>
      </w:r>
    </w:p>
    <w:p w14:paraId="276828C8" w14:textId="7C3A32BB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38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Płynne podłoże Baird Parker Agar</w:t>
      </w:r>
    </w:p>
    <w:p w14:paraId="61F13B19" w14:textId="28549C52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39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Płynne podłoże VRBL Agar</w:t>
      </w:r>
    </w:p>
    <w:p w14:paraId="7E7521FE" w14:textId="4D338522" w:rsidR="00DA5B38" w:rsidRPr="00912625" w:rsidRDefault="00DA5B38" w:rsidP="00DA5B38">
      <w:pPr>
        <w:spacing w:after="160"/>
        <w:ind w:left="360"/>
        <w:jc w:val="both"/>
        <w:rPr>
          <w:rFonts w:ascii="Greycliff CF Medium" w:hAnsi="Greycliff CF Medium"/>
          <w:b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40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Pr="00912625">
        <w:rPr>
          <w:rFonts w:ascii="Greycliff CF Medium" w:hAnsi="Greycliff CF Medium"/>
          <w:b/>
          <w:sz w:val="22"/>
          <w:szCs w:val="22"/>
          <w:lang w:val="pl-PL"/>
        </w:rPr>
        <w:t xml:space="preserve"> Płynne podłoże YGC Agar zgodne z PN ISO7954</w:t>
      </w:r>
    </w:p>
    <w:p w14:paraId="6EA60D66" w14:textId="7B3A5B19" w:rsidR="00DA5B38" w:rsidRPr="00912625" w:rsidRDefault="00DA5B38" w:rsidP="00DA5B38">
      <w:pPr>
        <w:spacing w:after="0"/>
        <w:ind w:firstLine="360"/>
        <w:jc w:val="both"/>
        <w:rPr>
          <w:rFonts w:ascii="Greycliff CF Medium" w:hAnsi="Greycliff CF Medium" w:cs="Calibri"/>
          <w:b/>
          <w:bCs/>
          <w:noProof w:val="0"/>
          <w:snapToGrid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41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 Płynne podłoże PCA</w:t>
      </w:r>
    </w:p>
    <w:p w14:paraId="735CF345" w14:textId="0AA498B7" w:rsidR="00DA5B38" w:rsidRPr="00912625" w:rsidRDefault="00DA5B38" w:rsidP="00DA5B38">
      <w:pPr>
        <w:spacing w:after="0" w:line="480" w:lineRule="auto"/>
        <w:ind w:firstLine="360"/>
        <w:jc w:val="both"/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42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Pr="00912625">
        <w:rPr>
          <w:b/>
          <w:bCs/>
          <w:color w:val="000000"/>
          <w:sz w:val="20"/>
          <w:szCs w:val="20"/>
        </w:rPr>
        <w:t xml:space="preserve"> </w:t>
      </w:r>
      <w:r w:rsidR="00A85B50" w:rsidRPr="00912625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 xml:space="preserve">Płynne podłoże PCA bez w/o </w:t>
      </w:r>
      <w:proofErr w:type="spellStart"/>
      <w:r w:rsidR="00A85B50" w:rsidRPr="00912625">
        <w:rPr>
          <w:b/>
          <w:bCs/>
          <w:noProof w:val="0"/>
          <w:snapToGrid/>
          <w:color w:val="000000"/>
          <w:sz w:val="20"/>
          <w:szCs w:val="20"/>
          <w:lang w:val="pl-PL" w:eastAsia="pl-PL"/>
        </w:rPr>
        <w:t>glucose</w:t>
      </w:r>
      <w:proofErr w:type="spellEnd"/>
    </w:p>
    <w:p w14:paraId="4FED8996" w14:textId="0C1BBDD7" w:rsidR="00DA5B38" w:rsidRPr="00912625" w:rsidRDefault="00DA5B38" w:rsidP="00DA5B38">
      <w:pPr>
        <w:spacing w:after="160" w:line="48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43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Płynne podłoże RAPID </w:t>
      </w:r>
      <w:proofErr w:type="spellStart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Enterococcus</w:t>
      </w:r>
      <w:proofErr w:type="spellEnd"/>
    </w:p>
    <w:p w14:paraId="66C43281" w14:textId="62275E19" w:rsidR="00DA5B38" w:rsidRPr="00912625" w:rsidRDefault="00DA5B38" w:rsidP="00DA5B38">
      <w:pPr>
        <w:spacing w:after="160" w:line="480" w:lineRule="auto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44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proofErr w:type="spellStart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Rapid</w:t>
      </w:r>
      <w:proofErr w:type="spellEnd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</w:t>
      </w:r>
      <w:proofErr w:type="spellStart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e.coli</w:t>
      </w:r>
      <w:proofErr w:type="spellEnd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, 2 Agar for </w:t>
      </w:r>
      <w:proofErr w:type="spellStart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water</w:t>
      </w:r>
      <w:proofErr w:type="spellEnd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55 mmX20,</w:t>
      </w:r>
    </w:p>
    <w:p w14:paraId="0FD2781A" w14:textId="29F6FB7F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45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Ł</w:t>
      </w:r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yżka jednoazowa sterylna</w:t>
      </w:r>
    </w:p>
    <w:p w14:paraId="18562CE1" w14:textId="5FAC1A5C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</w:rPr>
      </w:pPr>
      <w:proofErr w:type="spellStart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Część</w:t>
      </w:r>
      <w:proofErr w:type="spellEnd"/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46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 xml:space="preserve">: </w:t>
      </w:r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</w:rPr>
        <w:t>XLD Agar</w:t>
      </w:r>
    </w:p>
    <w:p w14:paraId="3D046664" w14:textId="3AC69045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47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RVS </w:t>
      </w:r>
      <w:proofErr w:type="spellStart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Broth</w:t>
      </w:r>
      <w:proofErr w:type="spellEnd"/>
    </w:p>
    <w:p w14:paraId="6CD8DC13" w14:textId="6D183477" w:rsidR="00DA5B38" w:rsidRPr="00912625" w:rsidRDefault="00DA5B38" w:rsidP="00DA5B38">
      <w:pPr>
        <w:spacing w:after="160"/>
        <w:ind w:left="360"/>
        <w:jc w:val="both"/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48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Szczep referencyjny Salmonella </w:t>
      </w:r>
      <w:proofErr w:type="spellStart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enteritidis</w:t>
      </w:r>
      <w:proofErr w:type="spellEnd"/>
    </w:p>
    <w:p w14:paraId="567FA542" w14:textId="695EED54" w:rsidR="00DA5B38" w:rsidRPr="00912625" w:rsidRDefault="00DA5B38" w:rsidP="00DA5B38">
      <w:pPr>
        <w:spacing w:after="160"/>
        <w:ind w:left="360"/>
        <w:jc w:val="both"/>
        <w:rPr>
          <w:rFonts w:ascii="Greycliff CF Medium" w:hAnsi="Greycliff CF Medium"/>
          <w:b/>
          <w:sz w:val="22"/>
          <w:szCs w:val="22"/>
          <w:lang w:val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49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 w:rsidRPr="00912625">
        <w:rPr>
          <w:rFonts w:ascii="Greycliff CF Medium" w:hAnsi="Greycliff CF Medium"/>
          <w:b/>
          <w:sz w:val="22"/>
          <w:szCs w:val="22"/>
          <w:lang w:val="pl-PL"/>
        </w:rPr>
        <w:t xml:space="preserve"> </w:t>
      </w:r>
      <w:r w:rsidR="00A85B50" w:rsidRPr="00912625">
        <w:rPr>
          <w:rFonts w:ascii="Greycliff CF Medium" w:hAnsi="Greycliff CF Medium"/>
          <w:b/>
          <w:sz w:val="22"/>
          <w:szCs w:val="22"/>
          <w:lang w:val="pl-PL"/>
        </w:rPr>
        <w:t>Alkohol etylowy</w:t>
      </w:r>
      <w:r w:rsidR="00A85B50" w:rsidRPr="00912625">
        <w:rPr>
          <w:rFonts w:ascii="Greycliff CF Medium" w:hAnsi="Greycliff CF Medium"/>
          <w:b/>
          <w:sz w:val="22"/>
          <w:szCs w:val="22"/>
          <w:lang w:val="pl-PL"/>
        </w:rPr>
        <w:t xml:space="preserve"> 99,9% cz.d.a., nr Cat.:PA-11-0004#9X500ML, Stanlab lub równoważne</w:t>
      </w:r>
    </w:p>
    <w:p w14:paraId="79F3C597" w14:textId="6DF0EA99" w:rsidR="00DA5B38" w:rsidRPr="00912625" w:rsidRDefault="00DA5B38" w:rsidP="00DA5B38">
      <w:pPr>
        <w:spacing w:after="0"/>
        <w:ind w:firstLine="360"/>
        <w:jc w:val="both"/>
        <w:rPr>
          <w:rFonts w:ascii="Greycliff CF Medium" w:hAnsi="Greycliff CF Medium" w:cs="Calibri"/>
          <w:b/>
          <w:bCs/>
          <w:noProof w:val="0"/>
          <w:snapToGrid/>
          <w:sz w:val="20"/>
          <w:szCs w:val="20"/>
          <w:lang w:val="pl-PL" w:eastAsia="pl-PL"/>
        </w:rPr>
      </w:pP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50</w:t>
      </w:r>
      <w:r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: </w:t>
      </w:r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Alkohol izopropylowy cz. d. a., nr kat.:PA-11-0031 </w:t>
      </w:r>
      <w:proofErr w:type="spellStart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Stanlab</w:t>
      </w:r>
      <w:proofErr w:type="spellEnd"/>
      <w:r w:rsidR="00A85B50" w:rsidRPr="00912625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lub równoważne,</w:t>
      </w:r>
    </w:p>
    <w:p w14:paraId="31A40A60" w14:textId="77777777" w:rsidR="00DA5B38" w:rsidRPr="00912625" w:rsidRDefault="00DA5B38" w:rsidP="00C1686E">
      <w:pPr>
        <w:pStyle w:val="Bezodstpw"/>
        <w:rPr>
          <w:rFonts w:ascii="Greycliff CF Medium" w:eastAsia="Calibri" w:hAnsi="Greycliff CF Medium" w:cs="Times New Roman"/>
          <w:bCs/>
        </w:rPr>
      </w:pPr>
    </w:p>
    <w:p w14:paraId="0B886C60" w14:textId="43EE8D00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 w:rsidRPr="00912625"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Szczegółowy opis przedmiotu zamówienia określający wymagania Zamawiającego oraz ilości – zawiera załącznik nr 2 do niniejszego Zapytania – Formularz asortymentowo-cenowy, który Wykonawca załącza do oferty. Wykonawca wypełniając wskazane pozycje potwierdza spełnianie wymagań określonych przez Zamawiającego.</w:t>
      </w:r>
    </w:p>
    <w:p w14:paraId="034A192C" w14:textId="17255361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</w:t>
      </w:r>
      <w:r w:rsidR="00BF59B2" w:rsidRPr="00CB1191">
        <w:rPr>
          <w:rFonts w:ascii="Greycliff CF Medium" w:eastAsia="Calibri" w:hAnsi="Greycliff CF Medium" w:cs="Times New Roman"/>
          <w:bCs/>
        </w:rPr>
        <w:t xml:space="preserve">dostawy </w:t>
      </w:r>
      <w:r w:rsidR="00503E89" w:rsidRPr="00CB1191">
        <w:rPr>
          <w:rFonts w:ascii="Greycliff CF Medium" w:eastAsia="Calibri" w:hAnsi="Greycliff CF Medium" w:cs="Times New Roman"/>
          <w:bCs/>
        </w:rPr>
        <w:t xml:space="preserve">– </w:t>
      </w:r>
      <w:r w:rsidR="005A36DF">
        <w:rPr>
          <w:rFonts w:ascii="Greycliff CF Medium" w:eastAsia="Calibri" w:hAnsi="Greycliff CF Medium" w:cs="Times New Roman"/>
          <w:bCs/>
        </w:rPr>
        <w:t xml:space="preserve">do </w:t>
      </w:r>
      <w:r w:rsidR="00385F93">
        <w:rPr>
          <w:rFonts w:ascii="Greycliff CF Medium" w:eastAsia="Calibri" w:hAnsi="Greycliff CF Medium" w:cs="Times New Roman"/>
          <w:bCs/>
        </w:rPr>
        <w:t>45</w:t>
      </w:r>
      <w:r w:rsidR="00503E89" w:rsidRPr="00CB1191">
        <w:rPr>
          <w:rFonts w:ascii="Greycliff CF Medium" w:eastAsia="Calibri" w:hAnsi="Greycliff CF Medium" w:cs="Times New Roman"/>
          <w:bCs/>
        </w:rPr>
        <w:t xml:space="preserve"> dni od dnia złożenia oficjalnego zamówienia przez Zamawiającego</w:t>
      </w:r>
      <w:r w:rsidR="00BF59B2" w:rsidRPr="00CB1191">
        <w:rPr>
          <w:rFonts w:ascii="Greycliff CF Medium" w:eastAsia="Calibri" w:hAnsi="Greycliff CF Medium" w:cs="Times New Roman"/>
          <w:bCs/>
        </w:rPr>
        <w:t>.</w:t>
      </w:r>
    </w:p>
    <w:p w14:paraId="36A03754" w14:textId="50C6E405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2F0A1A3A" w:rsidR="00322A52" w:rsidRPr="001C32A0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Termin dostawy </w:t>
      </w:r>
      <w:r w:rsidR="00503E89" w:rsidRPr="001C32A0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– </w:t>
      </w:r>
      <w:r w:rsidR="005A36DF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do </w:t>
      </w:r>
      <w:r w:rsidR="00385F93">
        <w:rPr>
          <w:rFonts w:ascii="Greycliff CF Medium" w:hAnsi="Greycliff CF Medium" w:cs="Times New Roman"/>
          <w:bCs/>
          <w:sz w:val="22"/>
          <w:szCs w:val="22"/>
          <w:lang w:val="pl-PL"/>
        </w:rPr>
        <w:t>45</w:t>
      </w:r>
      <w:r w:rsidR="00503E89" w:rsidRPr="001C32A0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dni od dnia złożenia oficjalnego zamówienia przez Zamawiającego.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9" w:name="_Hlk530044175"/>
      <w:bookmarkStart w:id="10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1C32A0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Płatność za wykonanie </w:t>
      </w:r>
      <w:r w:rsidR="00701BD1"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>dostawy</w:t>
      </w: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 nastąpi po stwierdzeniu przez Zamawiającego należytego zrealizowania przedmiotu zamówienia, na podstawie prawidłowo wystawionej </w:t>
      </w:r>
      <w:r w:rsidR="00401EF5"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i doręczonej faktury, w terminie </w:t>
      </w:r>
      <w:r w:rsidR="00701BD1"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>30</w:t>
      </w: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 dni od dnia jej doręczenia Zamawiającemu, przelewem na rachunek bankowy wskazany na fakturze.</w:t>
      </w:r>
      <w:r w:rsidR="00851240"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lastRenderedPageBreak/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685C5046" w14:textId="275E77A6" w:rsidR="00A13142" w:rsidRPr="00C67B9D" w:rsidRDefault="003F0C87" w:rsidP="00C67B9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715F7D05" w14:textId="77777777" w:rsidR="00A13142" w:rsidRDefault="00A13142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3EDDBFBD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</w:t>
      </w:r>
      <w:r w:rsidR="006B1B81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r </w:t>
      </w:r>
      <w:r w:rsidR="005E6D29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13</w:t>
      </w:r>
      <w:r w:rsidR="00A54D25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Pr="001C32A0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Poprzez kryterium ceny (Q</w:t>
      </w:r>
      <w:r w:rsidRPr="001C32A0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>c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) zostaną przyznane punkty na podstawie zadeklarowanej</w:t>
      </w:r>
      <w:r w:rsidR="00044547"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391E50"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łącznej 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ceny</w:t>
      </w:r>
      <w:r w:rsidR="00044547"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851240" w:rsidRPr="001C32A0">
        <w:rPr>
          <w:rFonts w:ascii="Greycliff CF Medium" w:hAnsi="Greycliff CF Medium" w:cs="Times New Roman"/>
          <w:sz w:val="22"/>
          <w:szCs w:val="22"/>
          <w:lang w:val="pl-PL"/>
        </w:rPr>
        <w:t>netto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przez Wykonawcę w </w:t>
      </w:r>
      <w:r w:rsidRPr="001C32A0">
        <w:rPr>
          <w:rFonts w:ascii="Greycliff CF Medium" w:hAnsi="Greycliff CF Medium" w:cs="Times New Roman"/>
          <w:i/>
          <w:sz w:val="22"/>
          <w:szCs w:val="22"/>
          <w:lang w:val="pl-PL"/>
        </w:rPr>
        <w:t>Formularzu oferty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, wedle poniższego wzoru:</w:t>
      </w:r>
    </w:p>
    <w:p w14:paraId="7EF362E2" w14:textId="77777777" w:rsidR="00EE1051" w:rsidRPr="001C32A0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0051A41" w14:textId="77777777" w:rsidR="00F4120C" w:rsidRPr="001C32A0" w:rsidRDefault="00F4120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1C32A0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  <w:lang w:val="pl-PL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1C32A0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Q</w:t>
      </w:r>
      <w:r w:rsidRPr="001C32A0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>C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– liczba punktów przyznanych rozpatrywanej ofercie w kryterium: cena</w:t>
      </w:r>
    </w:p>
    <w:p w14:paraId="74240D35" w14:textId="77777777" w:rsidR="00B459FC" w:rsidRPr="001C32A0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C</w:t>
      </w:r>
      <w:r w:rsidRPr="001C32A0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 xml:space="preserve">min 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– najniższa cena oferowana w postępowaniu</w:t>
      </w:r>
    </w:p>
    <w:p w14:paraId="2F4AC362" w14:textId="2DC7B5AC" w:rsidR="00B5046D" w:rsidRPr="001C32A0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C</w:t>
      </w:r>
      <w:r w:rsidRPr="001C32A0">
        <w:rPr>
          <w:rFonts w:ascii="Greycliff CF Medium" w:hAnsi="Greycliff CF Medium" w:cs="Times New Roman"/>
          <w:sz w:val="22"/>
          <w:szCs w:val="22"/>
          <w:vertAlign w:val="subscript"/>
          <w:lang w:val="pl-PL"/>
        </w:rPr>
        <w:t xml:space="preserve">O 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– cena rozpatrywanej oferty</w:t>
      </w:r>
    </w:p>
    <w:p w14:paraId="6FC23B9F" w14:textId="7F19DB69" w:rsidR="00B459FC" w:rsidRPr="001C32A0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Najwyższa możliwa punktacja do uzyskania: </w:t>
      </w:r>
      <w:r w:rsidRPr="001C32A0">
        <w:rPr>
          <w:rFonts w:ascii="Greycliff CF Medium" w:hAnsi="Greycliff CF Medium" w:cs="Times New Roman"/>
          <w:b/>
          <w:sz w:val="22"/>
          <w:szCs w:val="22"/>
          <w:lang w:val="pl-PL"/>
        </w:rPr>
        <w:t>100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. Liczba przyznanych punktów zostanie zaokrąglona do dwóch miejsc po przecinku. Oferowaną cenę należy zamieścić </w:t>
      </w:r>
      <w:r w:rsidR="00401EF5" w:rsidRPr="001C32A0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w odpowiednim formularzu z dokładnością do jednego grosza, przedstawiając ją </w:t>
      </w:r>
      <w:r w:rsidR="00401EF5" w:rsidRPr="001C32A0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w walucie polskiej PLN.</w:t>
      </w:r>
    </w:p>
    <w:p w14:paraId="2CD98D90" w14:textId="6C772226" w:rsidR="00CB0C4C" w:rsidRPr="001C32A0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1C32A0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b/>
          <w:sz w:val="22"/>
          <w:szCs w:val="22"/>
          <w:lang w:val="pl-PL"/>
        </w:rPr>
        <w:t>Informacje dotyczące wyboru najkorzystniejszej oferty:</w:t>
      </w:r>
    </w:p>
    <w:p w14:paraId="076704DA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631DEF6" w14:textId="7D74F9B2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Zamawiający udzieli zamówienia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, którego oferta odpowiada wszystkim wyżej wymienionym wymaganiom i uzyska łącznie najwięcej punktów w oparciu </w:t>
      </w:r>
      <w:r w:rsidR="00401EF5" w:rsidRPr="001C32A0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3AEBC7FD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54E79A2" w14:textId="47222B95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Zamawiający zastrzega sobie prawo do zwrócenia się do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z wnioskiem </w:t>
      </w:r>
      <w:r w:rsidR="00401EF5" w:rsidRPr="001C32A0">
        <w:rPr>
          <w:rFonts w:ascii="Greycliff CF Medium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Wykonawcę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 w określonym przez Zamawiającego terminie. Zamawiający odrzuca ofertę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1C32A0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4A000E2F" w14:textId="05F497C3" w:rsidR="00B3553E" w:rsidRPr="001C32A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Jeżeli </w:t>
      </w:r>
      <w:r w:rsidR="004D4F5C" w:rsidRPr="001C32A0">
        <w:rPr>
          <w:rFonts w:ascii="Greycliff CF Medium" w:hAnsi="Greycliff CF Medium" w:cs="Times New Roman"/>
          <w:sz w:val="22"/>
          <w:szCs w:val="22"/>
          <w:lang w:val="pl-PL"/>
        </w:rPr>
        <w:t>Wykonawca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, którego oferta została wybrana, uchyli się od podpisania </w:t>
      </w:r>
      <w:r w:rsidR="00124860" w:rsidRPr="001C32A0">
        <w:rPr>
          <w:rFonts w:ascii="Greycliff CF Medium" w:hAnsi="Greycliff CF Medium" w:cs="Times New Roman"/>
          <w:sz w:val="22"/>
          <w:szCs w:val="22"/>
          <w:lang w:val="pl-PL"/>
        </w:rPr>
        <w:t>zamówienia</w:t>
      </w:r>
      <w:r w:rsidR="001A7811" w:rsidRPr="001C32A0">
        <w:rPr>
          <w:rFonts w:ascii="Greycliff CF Medium" w:hAnsi="Greycliff CF Medium" w:cs="Times New Roman"/>
          <w:sz w:val="22"/>
          <w:szCs w:val="22"/>
          <w:lang w:val="pl-PL"/>
        </w:rPr>
        <w:t>/zrezygnuje z realizacji przedmiotu zamówienia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 xml:space="preserve">, Zamawiający zastrzega sobie prawo złożenia propozycji </w:t>
      </w:r>
      <w:r w:rsidR="001B0FA6" w:rsidRPr="001C32A0">
        <w:rPr>
          <w:rFonts w:ascii="Greycliff CF Medium" w:hAnsi="Greycliff CF Medium" w:cs="Times New Roman"/>
          <w:sz w:val="22"/>
          <w:szCs w:val="22"/>
          <w:lang w:val="pl-PL"/>
        </w:rPr>
        <w:t>złożenia zamówienia wykonawcy</w:t>
      </w:r>
      <w:r w:rsidRPr="001C32A0">
        <w:rPr>
          <w:rFonts w:ascii="Greycliff CF Medium" w:hAnsi="Greycliff CF Medium" w:cs="Times New Roman"/>
          <w:sz w:val="22"/>
          <w:szCs w:val="22"/>
          <w:lang w:val="pl-PL"/>
        </w:rPr>
        <w:t>, którego oferta będzie najkorzystniejszą spośród pozostałych złożonych</w:t>
      </w:r>
      <w:r w:rsidRPr="001C32A0">
        <w:rPr>
          <w:rFonts w:ascii="Greycliff CF Medium" w:hAnsi="Greycliff CF Medium" w:cs="Times New Roman"/>
          <w:b/>
          <w:sz w:val="22"/>
          <w:szCs w:val="22"/>
          <w:lang w:val="pl-PL"/>
        </w:rPr>
        <w:t xml:space="preserve"> </w:t>
      </w:r>
      <w:r w:rsidRPr="001C32A0">
        <w:rPr>
          <w:rFonts w:ascii="Greycliff CF Medium" w:hAnsi="Greycliff CF Medium" w:cs="Times New Roman"/>
          <w:bCs/>
          <w:sz w:val="22"/>
          <w:szCs w:val="22"/>
          <w:lang w:val="pl-PL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11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11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1C32A0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/>
        </w:rPr>
      </w:pPr>
      <w:r w:rsidRPr="001C32A0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12" w:name="_Hlk516736000"/>
      <w:bookmarkStart w:id="13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12"/>
    </w:p>
    <w:bookmarkEnd w:id="13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18576FAA" w14:textId="77777777" w:rsidR="00A228CE" w:rsidRDefault="00A228CE" w:rsidP="00A228CE">
      <w:pPr>
        <w:pStyle w:val="Bezodstpw"/>
      </w:pPr>
    </w:p>
    <w:p w14:paraId="6515063A" w14:textId="5DBF8B7F" w:rsidR="003F0C87" w:rsidRPr="001C32A0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</w:pPr>
      <w:r w:rsidRPr="001C32A0"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9"/>
    <w:bookmarkEnd w:id="10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477DFEE2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4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5" w:name="_Hlk12363451"/>
      <w:r w:rsidR="004F6E6F">
        <w:rPr>
          <w:rFonts w:ascii="Greycliff CF Medium" w:hAnsi="Greycliff CF Medium" w:cs="Times New Roman"/>
          <w:iCs/>
          <w:sz w:val="22"/>
          <w:szCs w:val="22"/>
          <w:lang w:val="pl-PL"/>
        </w:rPr>
        <w:t>3</w:t>
      </w:r>
      <w:r w:rsidR="005A36DF">
        <w:rPr>
          <w:rFonts w:ascii="Greycliff CF Medium" w:hAnsi="Greycliff CF Medium" w:cs="Times New Roman"/>
          <w:iCs/>
          <w:sz w:val="22"/>
          <w:szCs w:val="22"/>
          <w:lang w:val="pl-PL"/>
        </w:rPr>
        <w:t>5</w:t>
      </w:r>
      <w:r w:rsidR="00ED55DD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End w:id="14"/>
      <w:bookmarkEnd w:id="15"/>
      <w:r w:rsidR="005A36DF" w:rsidRPr="005A36DF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odczynników, materiałów zużywalnych, odczynników do hodowli komórkowej oraz materiałów eksploatacyjnych do hodowli komórkowej </w:t>
      </w:r>
      <w:r w:rsidR="005A36DF">
        <w:rPr>
          <w:rFonts w:ascii="Greycliff CF Medium" w:hAnsi="Greycliff CF Medium" w:cs="Times New Roman"/>
          <w:sz w:val="22"/>
          <w:szCs w:val="22"/>
          <w:lang w:val="pl-PL"/>
        </w:rPr>
        <w:t>l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219B362F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1C32A0">
        <w:rPr>
          <w:rFonts w:ascii="Greycliff CF Medium" w:hAnsi="Greycliff CF Medium"/>
          <w:lang w:val="pl-PL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4F6E6F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5A36DF">
        <w:rPr>
          <w:rFonts w:ascii="Greycliff CF Medium" w:hAnsi="Greycliff CF Medium" w:cs="Times New Roman"/>
          <w:i/>
          <w:sz w:val="22"/>
          <w:szCs w:val="22"/>
          <w:lang w:val="pl-PL"/>
        </w:rPr>
        <w:t>5</w:t>
      </w:r>
      <w:r w:rsidR="00ED55DD">
        <w:rPr>
          <w:rFonts w:ascii="Greycliff CF Medium" w:hAnsi="Greycliff CF Medium" w:cs="Times New Roman"/>
          <w:i/>
          <w:sz w:val="22"/>
          <w:szCs w:val="22"/>
          <w:lang w:val="pl-PL"/>
        </w:rPr>
        <w:t>/RPO_1.1.1/2023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5A36DF" w:rsidRPr="005A36DF">
        <w:rPr>
          <w:rFonts w:ascii="Greycliff CF Medium" w:hAnsi="Greycliff CF Medium" w:cs="Times New Roman"/>
          <w:i/>
          <w:sz w:val="22"/>
          <w:szCs w:val="22"/>
          <w:lang w:val="pl-PL"/>
        </w:rPr>
        <w:t>odczynników, materiałów zużywalnych, odczynników do hodowli komórkowej oraz materiałów eksploatacyjnych do hodowli komórkowej</w:t>
      </w:r>
      <w:r w:rsidR="009F50AC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6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6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5A8E63B0" w14:textId="315BD92C" w:rsidR="00EA13FE" w:rsidRPr="009F50AC" w:rsidRDefault="00AB15F6" w:rsidP="009F50AC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C341A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C341A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5A36DF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08</w:t>
      </w:r>
      <w:r w:rsidR="00D16947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</w:t>
      </w:r>
      <w:r w:rsidR="005A36DF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sierpnia</w:t>
      </w:r>
      <w:r w:rsidR="00F75D24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20</w:t>
      </w:r>
      <w:r w:rsidR="00CC49E1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CB1191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  <w:r w:rsidR="00EC596E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D16947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6</w:t>
      </w:r>
      <w:r w:rsidR="00CC49E1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D1694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3D9DEFB5" w14:textId="77777777" w:rsidR="00A13142" w:rsidRPr="00322A52" w:rsidRDefault="00A13142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7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8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8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9" w:name="_Hlk517181530"/>
    </w:p>
    <w:p w14:paraId="7880B948" w14:textId="26A46679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</w:t>
      </w:r>
      <w:r w:rsidR="00A228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lub specyfikacji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  <w:bookmarkStart w:id="20" w:name="_Hlk81396008"/>
      <w:bookmarkEnd w:id="17"/>
      <w:bookmarkEnd w:id="19"/>
    </w:p>
    <w:bookmarkEnd w:id="20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Aktualny odpis z właściwego rejestru lub z centralnej ewidencji informacji </w:t>
      </w:r>
      <w:r w:rsidR="007B56EA"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br/>
      </w:r>
      <w:r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t>Wykonawcy</w:t>
      </w:r>
      <w:r w:rsidRPr="001C32A0">
        <w:rPr>
          <w:rFonts w:ascii="Greycliff CF Medium" w:hAnsi="Greycliff CF Medium" w:cs="Times New Roman"/>
          <w:sz w:val="22"/>
          <w:szCs w:val="22"/>
          <w:lang w:val="pl-PL"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C32A0">
        <w:rPr>
          <w:rFonts w:ascii="Greycliff CF Medium" w:eastAsiaTheme="minorHAnsi" w:hAnsi="Greycliff CF Medium" w:cs="Times New Roman"/>
          <w:sz w:val="22"/>
          <w:szCs w:val="22"/>
          <w:lang w:val="pl-PL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21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1C32A0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Oferta powinna zawierać cenę podaną w PLN w kwotach brutto i netto. </w:t>
      </w:r>
      <w:r w:rsidR="007B56EA" w:rsidRPr="001C32A0">
        <w:rPr>
          <w:rFonts w:ascii="Greycliff CF Medium" w:eastAsiaTheme="minorHAnsi" w:hAnsi="Greycliff CF Medium" w:cs="Times New Roman"/>
          <w:sz w:val="22"/>
          <w:szCs w:val="22"/>
          <w:lang w:val="pl-PL"/>
        </w:rPr>
        <w:br/>
      </w:r>
      <w:r w:rsidRPr="001C32A0">
        <w:rPr>
          <w:rFonts w:ascii="Greycliff CF Medium" w:eastAsiaTheme="minorHAnsi" w:hAnsi="Greycliff CF Medium" w:cs="Times New Roman"/>
          <w:sz w:val="22"/>
          <w:szCs w:val="22"/>
          <w:lang w:val="pl-PL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21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11FFCE36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385F93">
        <w:rPr>
          <w:rFonts w:ascii="Greycliff CF Medium" w:eastAsia="Times New Roman" w:hAnsi="Greycliff CF Medium"/>
          <w:sz w:val="22"/>
          <w:szCs w:val="22"/>
          <w:lang w:eastAsia="pl-PL"/>
        </w:rPr>
        <w:t>4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1) administratorem danych osobowych jest Biovico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01335E4E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="007448F6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 dostawę materiałów zużywalnych i odczynników, drobnego sprzętu laboratoryjnego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4) dane osobowe będą przechowywane, przez okres zgodny z Wytycznymi w zakresie kwalifikowalności wydatków w ramach Europejskiego Funduszu Rozwoju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3A85FB29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22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385F93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5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22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5E6D29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0FCC00AF" w14:textId="7A5ED0AD" w:rsidR="004252F4" w:rsidRPr="001C32A0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  <w:lang w:val="pl-PL"/>
        </w:rPr>
      </w:pPr>
      <w:r w:rsidRPr="001C32A0">
        <w:rPr>
          <w:rFonts w:ascii="Greycliff CF Medium" w:hAnsi="Greycliff CF Medium" w:cs="Times New Roman"/>
          <w:color w:val="000000"/>
          <w:sz w:val="18"/>
          <w:szCs w:val="18"/>
          <w:lang w:val="pl-PL"/>
        </w:rPr>
        <w:t xml:space="preserve">- załącznik nr 3: </w:t>
      </w:r>
      <w:r w:rsidR="00312719" w:rsidRPr="001C32A0">
        <w:rPr>
          <w:rFonts w:ascii="Greycliff CF Medium" w:hAnsi="Greycliff CF Medium" w:cs="Times New Roman"/>
          <w:color w:val="000000"/>
          <w:sz w:val="18"/>
          <w:szCs w:val="18"/>
          <w:lang w:val="pl-PL"/>
        </w:rPr>
        <w:t>Oświadczenie Wykonawcy o braku powiązań kapitałowych lub osobowych</w:t>
      </w:r>
    </w:p>
    <w:sectPr w:rsidR="004252F4" w:rsidRPr="001C32A0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0D0D" w14:textId="77777777" w:rsidR="001C4749" w:rsidRDefault="001C4749" w:rsidP="000431CA">
      <w:pPr>
        <w:spacing w:after="0" w:line="240" w:lineRule="auto"/>
      </w:pPr>
      <w:r>
        <w:separator/>
      </w:r>
    </w:p>
  </w:endnote>
  <w:endnote w:type="continuationSeparator" w:id="0">
    <w:p w14:paraId="40EB312E" w14:textId="77777777" w:rsidR="001C4749" w:rsidRDefault="001C4749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B1B5" w14:textId="77777777" w:rsidR="001C4749" w:rsidRDefault="001C4749" w:rsidP="000431CA">
      <w:pPr>
        <w:spacing w:after="0" w:line="240" w:lineRule="auto"/>
      </w:pPr>
      <w:r>
        <w:separator/>
      </w:r>
    </w:p>
  </w:footnote>
  <w:footnote w:type="continuationSeparator" w:id="0">
    <w:p w14:paraId="3A2E0E05" w14:textId="77777777" w:rsidR="001C4749" w:rsidRDefault="001C4749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 w:numId="27" w16cid:durableId="160152211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4EE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0C2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523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17EC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850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9C3"/>
    <w:rsid w:val="00172D14"/>
    <w:rsid w:val="001753B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2A0"/>
    <w:rsid w:val="001C3ACA"/>
    <w:rsid w:val="001C3ACD"/>
    <w:rsid w:val="001C464A"/>
    <w:rsid w:val="001C4749"/>
    <w:rsid w:val="001C7122"/>
    <w:rsid w:val="001C73FA"/>
    <w:rsid w:val="001D0137"/>
    <w:rsid w:val="001D03AB"/>
    <w:rsid w:val="001D38AC"/>
    <w:rsid w:val="001D74D9"/>
    <w:rsid w:val="001D74E5"/>
    <w:rsid w:val="001E0E8C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1947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0CF4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E7FCD"/>
    <w:rsid w:val="002F069B"/>
    <w:rsid w:val="002F1705"/>
    <w:rsid w:val="002F2366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5F93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41A"/>
    <w:rsid w:val="003C3821"/>
    <w:rsid w:val="003D20B8"/>
    <w:rsid w:val="003D2D3E"/>
    <w:rsid w:val="003D3337"/>
    <w:rsid w:val="003D3BC6"/>
    <w:rsid w:val="003D4158"/>
    <w:rsid w:val="003D69EC"/>
    <w:rsid w:val="003E06A2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37A0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2E25"/>
    <w:rsid w:val="00463347"/>
    <w:rsid w:val="00465441"/>
    <w:rsid w:val="00466726"/>
    <w:rsid w:val="00466EFD"/>
    <w:rsid w:val="004703B9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451E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6E6F"/>
    <w:rsid w:val="004F79F9"/>
    <w:rsid w:val="005001D1"/>
    <w:rsid w:val="00501D38"/>
    <w:rsid w:val="00501D99"/>
    <w:rsid w:val="00502F52"/>
    <w:rsid w:val="00503E89"/>
    <w:rsid w:val="005041A5"/>
    <w:rsid w:val="00504831"/>
    <w:rsid w:val="005102B7"/>
    <w:rsid w:val="005122A7"/>
    <w:rsid w:val="00513A11"/>
    <w:rsid w:val="0051505C"/>
    <w:rsid w:val="00515581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11CA"/>
    <w:rsid w:val="005848C1"/>
    <w:rsid w:val="00584AB1"/>
    <w:rsid w:val="0058513A"/>
    <w:rsid w:val="00586772"/>
    <w:rsid w:val="00586B28"/>
    <w:rsid w:val="0058758B"/>
    <w:rsid w:val="00587725"/>
    <w:rsid w:val="0059013D"/>
    <w:rsid w:val="005902AC"/>
    <w:rsid w:val="00596C58"/>
    <w:rsid w:val="0059721F"/>
    <w:rsid w:val="005A36D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6D29"/>
    <w:rsid w:val="005E7541"/>
    <w:rsid w:val="005E7D68"/>
    <w:rsid w:val="005F1F91"/>
    <w:rsid w:val="005F2F91"/>
    <w:rsid w:val="005F348F"/>
    <w:rsid w:val="005F7969"/>
    <w:rsid w:val="00600593"/>
    <w:rsid w:val="00601F2E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392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2E3B"/>
    <w:rsid w:val="00673C3D"/>
    <w:rsid w:val="00673E4B"/>
    <w:rsid w:val="0067405E"/>
    <w:rsid w:val="00675158"/>
    <w:rsid w:val="0067779D"/>
    <w:rsid w:val="0068060B"/>
    <w:rsid w:val="006812F0"/>
    <w:rsid w:val="00681AC0"/>
    <w:rsid w:val="00683166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1B81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4AB8"/>
    <w:rsid w:val="00715D87"/>
    <w:rsid w:val="00716AD1"/>
    <w:rsid w:val="00716B21"/>
    <w:rsid w:val="00717115"/>
    <w:rsid w:val="00717817"/>
    <w:rsid w:val="00720014"/>
    <w:rsid w:val="0072056D"/>
    <w:rsid w:val="00723802"/>
    <w:rsid w:val="007241CE"/>
    <w:rsid w:val="00724532"/>
    <w:rsid w:val="007245A4"/>
    <w:rsid w:val="0072603E"/>
    <w:rsid w:val="00730196"/>
    <w:rsid w:val="00735A12"/>
    <w:rsid w:val="00742F25"/>
    <w:rsid w:val="007448F6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67E"/>
    <w:rsid w:val="00807BA9"/>
    <w:rsid w:val="008101ED"/>
    <w:rsid w:val="00811504"/>
    <w:rsid w:val="00817749"/>
    <w:rsid w:val="008234DE"/>
    <w:rsid w:val="00823B3B"/>
    <w:rsid w:val="00823F3E"/>
    <w:rsid w:val="00825FCE"/>
    <w:rsid w:val="008260BD"/>
    <w:rsid w:val="00826D81"/>
    <w:rsid w:val="00831F20"/>
    <w:rsid w:val="008321C8"/>
    <w:rsid w:val="008344D0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1E80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6B5F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520F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2625"/>
    <w:rsid w:val="009131F0"/>
    <w:rsid w:val="00913F83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3ED2"/>
    <w:rsid w:val="00994012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50AC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01B4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54D25"/>
    <w:rsid w:val="00A714CB"/>
    <w:rsid w:val="00A7394C"/>
    <w:rsid w:val="00A73C0E"/>
    <w:rsid w:val="00A74FF6"/>
    <w:rsid w:val="00A76B46"/>
    <w:rsid w:val="00A77F44"/>
    <w:rsid w:val="00A80F7D"/>
    <w:rsid w:val="00A85B50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E7DD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8EF"/>
    <w:rsid w:val="00B75FA7"/>
    <w:rsid w:val="00B76C18"/>
    <w:rsid w:val="00B77164"/>
    <w:rsid w:val="00B77CB3"/>
    <w:rsid w:val="00B81753"/>
    <w:rsid w:val="00B82261"/>
    <w:rsid w:val="00B8329E"/>
    <w:rsid w:val="00B839C9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5BD3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2F04"/>
    <w:rsid w:val="00C53897"/>
    <w:rsid w:val="00C5678B"/>
    <w:rsid w:val="00C60F61"/>
    <w:rsid w:val="00C6349B"/>
    <w:rsid w:val="00C639A5"/>
    <w:rsid w:val="00C63BEE"/>
    <w:rsid w:val="00C64C84"/>
    <w:rsid w:val="00C676D1"/>
    <w:rsid w:val="00C67B9D"/>
    <w:rsid w:val="00C71F8B"/>
    <w:rsid w:val="00C75C31"/>
    <w:rsid w:val="00C773EC"/>
    <w:rsid w:val="00C81277"/>
    <w:rsid w:val="00C847AE"/>
    <w:rsid w:val="00C848D0"/>
    <w:rsid w:val="00C85A78"/>
    <w:rsid w:val="00C86612"/>
    <w:rsid w:val="00C86C2C"/>
    <w:rsid w:val="00C90F71"/>
    <w:rsid w:val="00C9188E"/>
    <w:rsid w:val="00C95DE7"/>
    <w:rsid w:val="00CA659A"/>
    <w:rsid w:val="00CA7096"/>
    <w:rsid w:val="00CA7713"/>
    <w:rsid w:val="00CA7BE2"/>
    <w:rsid w:val="00CB0C4C"/>
    <w:rsid w:val="00CB1191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D4CAC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16947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5B38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1AFD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7E4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4C7"/>
    <w:rsid w:val="00E74A97"/>
    <w:rsid w:val="00E77915"/>
    <w:rsid w:val="00E80D8C"/>
    <w:rsid w:val="00E82C11"/>
    <w:rsid w:val="00E83D83"/>
    <w:rsid w:val="00E842D5"/>
    <w:rsid w:val="00E84640"/>
    <w:rsid w:val="00E847ED"/>
    <w:rsid w:val="00E84BD5"/>
    <w:rsid w:val="00E90F3B"/>
    <w:rsid w:val="00E93298"/>
    <w:rsid w:val="00E9352B"/>
    <w:rsid w:val="00E94D4D"/>
    <w:rsid w:val="00E951CE"/>
    <w:rsid w:val="00E95DE8"/>
    <w:rsid w:val="00EA0571"/>
    <w:rsid w:val="00EA13FE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5D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2C6B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17A5"/>
    <w:rsid w:val="00F3342A"/>
    <w:rsid w:val="00F33837"/>
    <w:rsid w:val="00F34A8D"/>
    <w:rsid w:val="00F35008"/>
    <w:rsid w:val="00F37467"/>
    <w:rsid w:val="00F408AF"/>
    <w:rsid w:val="00F40B2E"/>
    <w:rsid w:val="00F4120C"/>
    <w:rsid w:val="00F4359D"/>
    <w:rsid w:val="00F46EE2"/>
    <w:rsid w:val="00F50045"/>
    <w:rsid w:val="00F51B51"/>
    <w:rsid w:val="00F52423"/>
    <w:rsid w:val="00F541C7"/>
    <w:rsid w:val="00F57DCE"/>
    <w:rsid w:val="00F606AF"/>
    <w:rsid w:val="00F6396B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0B53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13</Pages>
  <Words>4091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86</cp:revision>
  <cp:lastPrinted>2023-04-21T12:32:00Z</cp:lastPrinted>
  <dcterms:created xsi:type="dcterms:W3CDTF">2022-04-24T15:01:00Z</dcterms:created>
  <dcterms:modified xsi:type="dcterms:W3CDTF">2023-07-31T10:46:00Z</dcterms:modified>
</cp:coreProperties>
</file>